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21153" w:type="dxa"/>
        <w:jc w:val="center"/>
        <w:tblLayout w:type="fixed"/>
        <w:tblCellMar>
          <w:top w:w="0" w:type="dxa"/>
          <w:left w:w="0" w:type="dxa"/>
          <w:bottom w:w="0" w:type="dxa"/>
          <w:right w:w="0" w:type="dxa"/>
        </w:tblCellMar>
      </w:tblPr>
      <w:tblGrid>
        <w:gridCol w:w="617"/>
        <w:gridCol w:w="1509"/>
        <w:gridCol w:w="2898"/>
        <w:gridCol w:w="3894"/>
        <w:gridCol w:w="1584"/>
        <w:gridCol w:w="3412"/>
        <w:gridCol w:w="3472"/>
        <w:gridCol w:w="3047"/>
        <w:gridCol w:w="720"/>
      </w:tblGrid>
      <w:tr>
        <w:tblPrEx>
          <w:tblCellMar>
            <w:top w:w="0" w:type="dxa"/>
            <w:left w:w="0" w:type="dxa"/>
            <w:bottom w:w="0" w:type="dxa"/>
            <w:right w:w="0" w:type="dxa"/>
          </w:tblCellMar>
        </w:tblPrEx>
        <w:trPr>
          <w:trHeight w:val="1202" w:hRule="atLeast"/>
          <w:jc w:val="center"/>
        </w:trPr>
        <w:tc>
          <w:tcPr>
            <w:tcW w:w="21153"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枣庄市财政运行保障中心业务范围清单</w:t>
            </w:r>
          </w:p>
          <w:p>
            <w:pPr>
              <w:pStyle w:val="2"/>
              <w:jc w:val="cente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此表用于公开发布</w:t>
            </w:r>
            <w:r>
              <w:rPr>
                <w:rFonts w:ascii="楷体_GB2312" w:hAnsi="楷体" w:eastAsia="楷体_GB2312" w:cs="楷体_GB2312"/>
                <w:b/>
                <w:bCs/>
                <w:color w:val="000000"/>
                <w:kern w:val="0"/>
                <w:sz w:val="32"/>
                <w:szCs w:val="32"/>
              </w:rPr>
              <w:t>)</w:t>
            </w:r>
          </w:p>
        </w:tc>
      </w:tr>
      <w:tr>
        <w:tblPrEx>
          <w:tblCellMar>
            <w:top w:w="0" w:type="dxa"/>
            <w:left w:w="0" w:type="dxa"/>
            <w:bottom w:w="0" w:type="dxa"/>
            <w:right w:w="0" w:type="dxa"/>
          </w:tblCellMar>
        </w:tblPrEx>
        <w:trPr>
          <w:trHeight w:val="529" w:hRule="atLeast"/>
          <w:jc w:val="center"/>
        </w:trPr>
        <w:tc>
          <w:tcPr>
            <w:tcW w:w="2126" w:type="dxa"/>
            <w:gridSpan w:val="2"/>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hint="eastAsia" w:ascii="楷体" w:hAnsi="楷体" w:eastAsia="楷体" w:cs="楷体"/>
                <w:b w:val="0"/>
                <w:bCs w:val="0"/>
                <w:sz w:val="24"/>
                <w:szCs w:val="24"/>
              </w:rPr>
            </w:pPr>
            <w:r>
              <w:rPr>
                <w:rFonts w:hint="eastAsia" w:ascii="楷体" w:hAnsi="楷体" w:eastAsia="楷体" w:cs="楷体"/>
                <w:b w:val="0"/>
                <w:bCs w:val="0"/>
                <w:sz w:val="24"/>
                <w:szCs w:val="24"/>
              </w:rPr>
              <w:t>事业单位</w:t>
            </w:r>
            <w:r>
              <w:rPr>
                <w:rFonts w:hint="eastAsia" w:ascii="楷体" w:hAnsi="楷体" w:eastAsia="楷体" w:cs="楷体"/>
                <w:b w:val="0"/>
                <w:bCs w:val="0"/>
                <w:sz w:val="24"/>
                <w:szCs w:val="24"/>
                <w:lang w:eastAsia="zh-CN"/>
              </w:rPr>
              <w:t>名称</w:t>
            </w:r>
            <w:r>
              <w:rPr>
                <w:rFonts w:hint="eastAsia" w:ascii="楷体" w:hAnsi="楷体" w:eastAsia="楷体" w:cs="楷体"/>
                <w:b w:val="0"/>
                <w:bCs w:val="0"/>
                <w:sz w:val="24"/>
                <w:szCs w:val="24"/>
              </w:rPr>
              <w:t>：</w:t>
            </w:r>
          </w:p>
          <w:p>
            <w:pPr>
              <w:pStyle w:val="2"/>
            </w:pPr>
            <w:r>
              <w:rPr>
                <w:rFonts w:hint="eastAsia" w:ascii="楷体" w:hAnsi="楷体" w:eastAsia="楷体" w:cs="楷体"/>
                <w:b w:val="0"/>
                <w:bCs w:val="0"/>
                <w:color w:val="000000"/>
                <w:kern w:val="0"/>
                <w:sz w:val="24"/>
                <w:szCs w:val="24"/>
              </w:rPr>
              <w:t>举办单位或代管部门名称：</w:t>
            </w:r>
          </w:p>
        </w:tc>
        <w:tc>
          <w:tcPr>
            <w:tcW w:w="19027" w:type="dxa"/>
            <w:gridSpan w:val="7"/>
            <w:tcBorders>
              <w:top w:val="nil"/>
              <w:left w:val="nil"/>
              <w:bottom w:val="nil"/>
              <w:right w:val="nil"/>
            </w:tcBorders>
            <w:noWrap/>
            <w:tcMar>
              <w:top w:w="15" w:type="dxa"/>
              <w:left w:w="15" w:type="dxa"/>
              <w:right w:w="15" w:type="dxa"/>
            </w:tcMar>
            <w:vAlign w:val="center"/>
          </w:tcPr>
          <w:p>
            <w:pPr>
              <w:adjustRightInd w:val="0"/>
              <w:snapToGrid w:val="0"/>
              <w:spacing w:line="580" w:lineRule="exac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枣庄市财政运行保障中心</w:t>
            </w:r>
            <w:r>
              <w:rPr>
                <w:rFonts w:hint="eastAsia" w:ascii="楷体" w:hAnsi="楷体" w:eastAsia="楷体" w:cs="楷体"/>
                <w:sz w:val="24"/>
                <w:szCs w:val="24"/>
                <w:lang w:val="en-US" w:eastAsia="zh-CN"/>
              </w:rPr>
              <w:t xml:space="preserve">                                                                                                                                                                                                                                                                                                                                                        </w:t>
            </w:r>
          </w:p>
          <w:p>
            <w:pPr>
              <w:adjustRightInd w:val="0"/>
              <w:snapToGrid w:val="0"/>
              <w:spacing w:line="580" w:lineRule="exact"/>
              <w:ind w:firstLine="16030" w:firstLineChars="7000"/>
              <w:textAlignment w:val="center"/>
              <w:rPr>
                <w:rFonts w:hint="eastAsia" w:ascii="楷体" w:hAnsi="楷体" w:eastAsia="楷体" w:cs="楷体"/>
                <w:sz w:val="24"/>
                <w:szCs w:val="24"/>
              </w:rPr>
            </w:pPr>
            <w:r>
              <w:rPr>
                <w:rFonts w:hint="eastAsia" w:ascii="楷体" w:hAnsi="楷体" w:eastAsia="楷体" w:cs="楷体"/>
                <w:sz w:val="24"/>
                <w:szCs w:val="24"/>
              </w:rPr>
              <w:t>填报日期：2020年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18</w:t>
            </w:r>
            <w:r>
              <w:rPr>
                <w:rFonts w:hint="eastAsia" w:ascii="楷体" w:hAnsi="楷体" w:eastAsia="楷体" w:cs="楷体"/>
                <w:sz w:val="24"/>
                <w:szCs w:val="24"/>
              </w:rPr>
              <w:t>日</w:t>
            </w:r>
          </w:p>
          <w:p>
            <w:pPr>
              <w:pStyle w:val="2"/>
              <w:rPr>
                <w:rFonts w:hint="eastAsia" w:eastAsia="黑体"/>
                <w:lang w:eastAsia="zh-CN"/>
              </w:rPr>
            </w:pPr>
            <w:r>
              <w:rPr>
                <w:rFonts w:hint="eastAsia" w:ascii="楷体" w:hAnsi="楷体" w:eastAsia="楷体" w:cs="楷体"/>
                <w:b w:val="0"/>
                <w:bCs w:val="0"/>
                <w:sz w:val="24"/>
                <w:szCs w:val="24"/>
                <w:lang w:eastAsia="zh-CN"/>
              </w:rPr>
              <w:t>枣庄市财政局</w:t>
            </w:r>
          </w:p>
        </w:tc>
      </w:tr>
      <w:tr>
        <w:tblPrEx>
          <w:tblCellMar>
            <w:top w:w="0" w:type="dxa"/>
            <w:left w:w="0" w:type="dxa"/>
            <w:bottom w:w="0" w:type="dxa"/>
            <w:right w:w="0" w:type="dxa"/>
          </w:tblCellMar>
        </w:tblPrEx>
        <w:trPr>
          <w:trHeight w:val="1020" w:hRule="atLeast"/>
          <w:jc w:val="center"/>
        </w:trPr>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90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rPr>
                <w:rFonts w:ascii="仿宋_GB2312" w:hAnsi="仿宋_GB2312" w:eastAsia="仿宋_GB2312"/>
                <w:b/>
                <w:bCs/>
                <w:color w:val="974706"/>
                <w:sz w:val="24"/>
                <w:szCs w:val="24"/>
              </w:rPr>
            </w:pPr>
            <w:r>
              <w:rPr>
                <w:rFonts w:hint="eastAsia" w:ascii="黑体" w:hAnsi="黑体" w:eastAsia="黑体" w:cs="黑体"/>
                <w:sz w:val="24"/>
                <w:szCs w:val="24"/>
              </w:rPr>
              <w:t>宗旨：</w:t>
            </w:r>
            <w:r>
              <w:rPr>
                <w:rFonts w:hint="eastAsia" w:ascii="仿宋_GB2312" w:hAnsi="仿宋_GB2312" w:eastAsia="仿宋_GB2312" w:cs="仿宋_GB2312"/>
                <w:sz w:val="24"/>
                <w:szCs w:val="24"/>
              </w:rPr>
              <w:t>为财政事业发展和财政运行提供服务。</w:t>
            </w:r>
            <w:r>
              <w:rPr>
                <w:rFonts w:hint="eastAsia" w:ascii="黑体" w:hAnsi="黑体" w:eastAsia="黑体" w:cs="黑体"/>
                <w:sz w:val="24"/>
                <w:szCs w:val="24"/>
              </w:rPr>
              <w:t>业务范围：</w:t>
            </w:r>
            <w:r>
              <w:rPr>
                <w:rFonts w:hint="eastAsia" w:ascii="仿宋_GB2312" w:hAnsi="仿宋_GB2312" w:eastAsia="仿宋_GB2312" w:cs="仿宋_GB2312"/>
                <w:sz w:val="24"/>
                <w:szCs w:val="24"/>
              </w:rPr>
              <w:t>为财政</w:t>
            </w:r>
            <w:r>
              <w:rPr>
                <w:rFonts w:hint="eastAsia" w:ascii="仿宋_GB2312" w:hAnsi="仿宋" w:eastAsia="仿宋_GB2312"/>
                <w:sz w:val="24"/>
                <w:szCs w:val="24"/>
              </w:rPr>
              <w:t>绩效管理、政府债务、非税收入、社保资金、政府采购和国有资产（资本）与地方国有金融资本监管服务。</w:t>
            </w:r>
            <w:r>
              <w:rPr>
                <w:rFonts w:hint="eastAsia" w:ascii="仿宋_GB2312" w:hAnsi="仿宋_GB2312" w:eastAsia="仿宋_GB2312" w:cs="仿宋_GB2312"/>
                <w:sz w:val="24"/>
                <w:szCs w:val="24"/>
              </w:rPr>
              <w:t>组织教育培训，</w:t>
            </w:r>
            <w:r>
              <w:rPr>
                <w:rFonts w:hint="eastAsia" w:ascii="仿宋_GB2312" w:hAnsi="仿宋" w:eastAsia="仿宋_GB2312"/>
                <w:sz w:val="24"/>
                <w:szCs w:val="24"/>
              </w:rPr>
              <w:t>配合做好财政干部教育、会计人才培养、会计专业技术资格考试等服务工作。参与财税改革、税费政策绩效评价、税源调查、税费收入变化情况分析工作，为财政工作提供政策咨询服务。</w:t>
            </w:r>
          </w:p>
        </w:tc>
      </w:tr>
      <w:tr>
        <w:tblPrEx>
          <w:tblCellMar>
            <w:top w:w="0" w:type="dxa"/>
            <w:left w:w="0" w:type="dxa"/>
            <w:bottom w:w="0" w:type="dxa"/>
            <w:right w:w="0" w:type="dxa"/>
          </w:tblCellMar>
        </w:tblPrEx>
        <w:trPr>
          <w:trHeight w:val="1287"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5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28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3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34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34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rPr>
              <w:t>责任科室及协办科室</w:t>
            </w:r>
            <w:r>
              <w:rPr>
                <w:rFonts w:ascii="黑体" w:hAnsi="仿宋_GB2312" w:eastAsia="黑体"/>
                <w:b/>
                <w:bCs/>
                <w:color w:val="000000"/>
                <w:kern w:val="0"/>
              </w:rPr>
              <w:br w:type="textWrapping"/>
            </w:r>
            <w:r>
              <w:rPr>
                <w:rFonts w:hint="eastAsia" w:ascii="黑体" w:hAnsi="仿宋_GB2312" w:eastAsia="黑体" w:cs="黑体"/>
                <w:b/>
                <w:bCs/>
                <w:color w:val="000000"/>
                <w:kern w:val="0"/>
              </w:rPr>
              <w:t>名称、地址、联系方式</w:t>
            </w:r>
          </w:p>
        </w:tc>
        <w:tc>
          <w:tcPr>
            <w:tcW w:w="30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cs="黑体"/>
                <w:b/>
                <w:bCs/>
                <w:color w:val="000000"/>
                <w:kern w:val="0"/>
                <w:sz w:val="24"/>
                <w:szCs w:val="24"/>
              </w:rPr>
            </w:pPr>
            <w:r>
              <w:rPr>
                <w:rFonts w:hint="eastAsia" w:ascii="黑体" w:hAnsi="仿宋_GB2312" w:eastAsia="黑体" w:cs="黑体"/>
                <w:b/>
                <w:bCs/>
                <w:color w:val="000000"/>
                <w:kern w:val="0"/>
                <w:sz w:val="24"/>
                <w:szCs w:val="24"/>
              </w:rPr>
              <w:t>实施</w:t>
            </w:r>
          </w:p>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期限</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楷体_GB2312" w:hAnsi="宋体" w:eastAsia="楷体_GB2312"/>
                <w:b/>
                <w:bCs/>
                <w:color w:val="000000"/>
                <w:sz w:val="24"/>
                <w:szCs w:val="24"/>
              </w:rPr>
            </w:pPr>
            <w:r>
              <w:rPr>
                <w:rFonts w:ascii="楷体_GB2312" w:hAnsi="宋体" w:eastAsia="楷体_GB2312" w:cs="楷体_GB2312"/>
                <w:b/>
                <w:bCs/>
                <w:color w:val="000000"/>
                <w:kern w:val="0"/>
                <w:sz w:val="24"/>
                <w:szCs w:val="24"/>
              </w:rPr>
              <w:t>1</w:t>
            </w:r>
          </w:p>
        </w:tc>
        <w:tc>
          <w:tcPr>
            <w:tcW w:w="15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rPr>
              <w:t>预算绩效评价</w:t>
            </w:r>
            <w:r>
              <w:rPr>
                <w:rFonts w:hint="eastAsia" w:ascii="仿宋_GB2312" w:hAnsi="仿宋_GB2312" w:eastAsia="仿宋_GB2312" w:cs="仿宋_GB2312"/>
                <w:bCs/>
                <w:kern w:val="0"/>
                <w:sz w:val="24"/>
                <w:szCs w:val="24"/>
                <w:lang w:val="zh-CN"/>
              </w:rPr>
              <w:t>服务</w:t>
            </w:r>
          </w:p>
          <w:p>
            <w:pPr>
              <w:adjustRightInd w:val="0"/>
              <w:snapToGrid w:val="0"/>
              <w:spacing w:line="580" w:lineRule="exact"/>
              <w:jc w:val="left"/>
              <w:rPr>
                <w:rFonts w:ascii="仿宋" w:hAnsi="仿宋" w:eastAsia="仿宋"/>
                <w:b/>
                <w:bCs/>
                <w:color w:val="974706"/>
                <w:sz w:val="18"/>
                <w:szCs w:val="18"/>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974706"/>
                <w:sz w:val="24"/>
                <w:szCs w:val="24"/>
              </w:rPr>
            </w:pPr>
            <w:r>
              <w:rPr>
                <w:rFonts w:hint="eastAsia" w:ascii="仿宋_GB2312" w:eastAsia="仿宋_GB2312"/>
                <w:sz w:val="24"/>
                <w:szCs w:val="24"/>
              </w:rPr>
              <w:t>开展绩效评价、自评的抽查复核及绩效评价</w:t>
            </w:r>
            <w:r>
              <w:rPr>
                <w:rFonts w:hint="eastAsia" w:ascii="仿宋_GB2312" w:hAnsi="仿宋_GB2312" w:eastAsia="仿宋_GB2312" w:cs="仿宋_GB2312"/>
                <w:bCs/>
                <w:kern w:val="0"/>
                <w:sz w:val="24"/>
                <w:szCs w:val="24"/>
                <w:lang w:val="zh-CN"/>
              </w:rPr>
              <w:t>服务事项</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974706"/>
                <w:sz w:val="24"/>
                <w:szCs w:val="24"/>
              </w:rPr>
            </w:pPr>
            <w:r>
              <w:rPr>
                <w:rFonts w:hint="eastAsia" w:ascii="仿宋_GB2312" w:eastAsia="仿宋_GB2312"/>
                <w:sz w:val="24"/>
                <w:szCs w:val="24"/>
              </w:rPr>
              <w:t>对重大政策和项目的绩效评价、对部门单位整体绩效自评进行抽查复核及绩效评价。</w:t>
            </w:r>
          </w:p>
        </w:tc>
        <w:tc>
          <w:tcPr>
            <w:tcW w:w="15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eastAsia" w:ascii="仿宋_GB2312" w:hAnsi="仿宋_GB2312" w:eastAsia="仿宋_GB2312" w:cs="仿宋_GB2312"/>
                <w:b w:val="0"/>
                <w:bCs w:val="0"/>
                <w:sz w:val="32"/>
                <w:szCs w:val="32"/>
                <w:lang w:val="en-US" w:eastAsia="zh-CN"/>
              </w:rPr>
            </w:pPr>
          </w:p>
          <w:p>
            <w:pPr>
              <w:pStyle w:val="2"/>
              <w:jc w:val="left"/>
              <w:rPr>
                <w:rFonts w:hint="default" w:ascii="仿宋_GB2312" w:hAnsi="仿宋_GB2312" w:eastAsia="仿宋_GB2312" w:cs="仿宋_GB2312"/>
                <w:bCs/>
                <w:sz w:val="32"/>
                <w:szCs w:val="32"/>
                <w:lang w:val="en-US"/>
              </w:rPr>
            </w:pPr>
            <w:r>
              <w:rPr>
                <w:rFonts w:hint="eastAsia" w:ascii="仿宋_GB2312" w:hAnsi="仿宋_GB2312" w:eastAsia="仿宋_GB2312" w:cs="仿宋_GB2312"/>
                <w:b w:val="0"/>
                <w:bCs w:val="0"/>
                <w:sz w:val="32"/>
                <w:szCs w:val="32"/>
                <w:lang w:val="en-US" w:eastAsia="zh-CN"/>
              </w:rPr>
              <w:t>依据《市财政局党组会议纪要》</w:t>
            </w:r>
            <w:bookmarkStart w:id="0" w:name="_GoBack"/>
            <w:bookmarkEnd w:id="0"/>
            <w:r>
              <w:rPr>
                <w:rFonts w:hint="eastAsia" w:ascii="仿宋_GB2312" w:hAnsi="仿宋_GB2312" w:eastAsia="仿宋_GB2312" w:cs="仿宋_GB2312"/>
                <w:b w:val="0"/>
                <w:bCs w:val="0"/>
                <w:sz w:val="32"/>
                <w:szCs w:val="32"/>
                <w:lang w:val="en-US" w:eastAsia="zh-CN"/>
              </w:rPr>
              <w:t>开展相关业务。</w:t>
            </w: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评价标准客观、准确、全面。</w:t>
            </w:r>
          </w:p>
        </w:tc>
        <w:tc>
          <w:tcPr>
            <w:tcW w:w="347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eastAsia="仿宋_GB2312"/>
                <w:sz w:val="24"/>
                <w:szCs w:val="24"/>
              </w:rPr>
            </w:pPr>
            <w:r>
              <w:rPr>
                <w:rFonts w:hint="eastAsia" w:ascii="仿宋_GB2312" w:eastAsia="仿宋_GB2312"/>
                <w:sz w:val="24"/>
                <w:szCs w:val="24"/>
              </w:rPr>
              <w:t>责任科室：预算绩效评价科</w:t>
            </w:r>
          </w:p>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地址：新城民生路616号市财政局办公楼 9</w:t>
            </w:r>
            <w:r>
              <w:rPr>
                <w:rFonts w:hint="eastAsia" w:ascii="仿宋_GB2312" w:hAnsi="仿宋_GB2312" w:eastAsia="仿宋_GB2312" w:cs="仿宋_GB2312"/>
                <w:bCs/>
                <w:kern w:val="0"/>
                <w:sz w:val="24"/>
                <w:szCs w:val="24"/>
              </w:rPr>
              <w:t>11</w:t>
            </w:r>
            <w:r>
              <w:rPr>
                <w:rFonts w:hint="eastAsia" w:ascii="仿宋_GB2312" w:hAnsi="仿宋_GB2312" w:eastAsia="仿宋_GB2312" w:cs="仿宋_GB2312"/>
                <w:bCs/>
                <w:kern w:val="0"/>
                <w:sz w:val="24"/>
                <w:szCs w:val="24"/>
                <w:lang w:val="zh-CN"/>
              </w:rPr>
              <w:t>房间</w:t>
            </w:r>
          </w:p>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联系方式：8687928</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eastAsia="仿宋_GB2312"/>
                <w:sz w:val="24"/>
                <w:szCs w:val="24"/>
              </w:rPr>
              <w:t>1、前期调研；2、拟定实施方案；3、组织预评价；4、沟通协调。</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长期</w:t>
            </w:r>
          </w:p>
        </w:tc>
      </w:tr>
      <w:tr>
        <w:tblPrEx>
          <w:tblCellMar>
            <w:top w:w="0" w:type="dxa"/>
            <w:left w:w="0" w:type="dxa"/>
            <w:bottom w:w="0" w:type="dxa"/>
            <w:right w:w="0" w:type="dxa"/>
          </w:tblCellMar>
        </w:tblPrEx>
        <w:trPr>
          <w:trHeight w:val="1413" w:hRule="atLeast"/>
          <w:jc w:val="center"/>
        </w:trPr>
        <w:tc>
          <w:tcPr>
            <w:tcW w:w="617" w:type="dxa"/>
            <w:vMerge w:val="continue"/>
            <w:tcBorders>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5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 w:hAnsi="仿宋" w:eastAsia="仿宋"/>
                <w:b/>
                <w:bCs/>
                <w:color w:val="974706"/>
                <w:sz w:val="18"/>
                <w:szCs w:val="18"/>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eastAsia="仿宋_GB2312"/>
                <w:sz w:val="24"/>
                <w:szCs w:val="24"/>
              </w:rPr>
              <w:t>收集反馈绩效运行监控</w:t>
            </w:r>
            <w:r>
              <w:rPr>
                <w:rFonts w:hint="eastAsia" w:ascii="仿宋_GB2312" w:hAnsi="仿宋_GB2312" w:eastAsia="仿宋_GB2312" w:cs="仿宋_GB2312"/>
                <w:bCs/>
                <w:kern w:val="0"/>
                <w:sz w:val="24"/>
                <w:szCs w:val="24"/>
                <w:lang w:val="zh-CN"/>
              </w:rPr>
              <w:t>信息</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eastAsia="仿宋_GB2312"/>
                <w:sz w:val="24"/>
                <w:szCs w:val="24"/>
              </w:rPr>
              <w:t>收集整理重大政策和项目开展的绩效运行监控信息，并及时反馈。</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kern w:val="0"/>
                <w:sz w:val="24"/>
                <w:szCs w:val="24"/>
                <w:lang w:val="zh-CN"/>
              </w:rPr>
              <w:t>绩效监控信息准确、监控范围广、监控信息及时反馈。</w:t>
            </w:r>
          </w:p>
        </w:tc>
        <w:tc>
          <w:tcPr>
            <w:tcW w:w="34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zh-CN"/>
              </w:rPr>
              <w:t>印发通知</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zh-CN"/>
              </w:rPr>
              <w:t>收集整理信息</w:t>
            </w:r>
            <w:r>
              <w:rPr>
                <w:rFonts w:hint="eastAsia"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lang w:val="zh-CN"/>
              </w:rPr>
              <w:t>反馈信息。</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2494" w:hRule="atLeast"/>
          <w:jc w:val="center"/>
        </w:trPr>
        <w:tc>
          <w:tcPr>
            <w:tcW w:w="61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2</w:t>
            </w:r>
          </w:p>
        </w:tc>
        <w:tc>
          <w:tcPr>
            <w:tcW w:w="150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国有资本评价服务</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国有金融资产管理相关数据维护、统计分析等基础性工作</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国有金融资产管理相关数据维护、统计分析等基础性工作，国有金融资产管理情况报告及配置效率和使用效益评价的相关辅助性工作。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依据省财政厅工作标准，及时汇总统计市级国有金融资本相关数据。</w:t>
            </w:r>
          </w:p>
        </w:tc>
        <w:tc>
          <w:tcPr>
            <w:tcW w:w="347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责任科室：国有资本统计评价科</w:t>
            </w:r>
          </w:p>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地址：新城民生路616号市财政局办公楼811房间</w:t>
            </w:r>
          </w:p>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联系方式：3311699</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jc w:val="left"/>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1、单位申报；</w:t>
            </w:r>
            <w:r>
              <w:rPr>
                <w:rFonts w:hint="eastAsia" w:ascii="仿宋_GB2312" w:hAnsi="仿宋_GB2312" w:eastAsia="仿宋_GB2312" w:cs="仿宋_GB2312"/>
                <w:b w:val="0"/>
                <w:color w:val="auto"/>
                <w:sz w:val="24"/>
                <w:szCs w:val="24"/>
                <w:lang w:val="en-US" w:eastAsia="zh-CN"/>
              </w:rPr>
              <w:t>2</w:t>
            </w:r>
            <w:r>
              <w:rPr>
                <w:rFonts w:hint="eastAsia" w:ascii="仿宋_GB2312" w:hAnsi="仿宋_GB2312" w:eastAsia="仿宋_GB2312" w:cs="仿宋_GB2312"/>
                <w:b w:val="0"/>
                <w:color w:val="auto"/>
                <w:sz w:val="24"/>
                <w:szCs w:val="24"/>
              </w:rPr>
              <w:t>、第三方核准；</w:t>
            </w:r>
            <w:r>
              <w:rPr>
                <w:rFonts w:hint="eastAsia" w:ascii="仿宋_GB2312" w:hAnsi="仿宋_GB2312" w:eastAsia="仿宋_GB2312" w:cs="仿宋_GB2312"/>
                <w:b w:val="0"/>
                <w:color w:val="auto"/>
                <w:sz w:val="24"/>
                <w:szCs w:val="24"/>
                <w:lang w:val="en-US" w:eastAsia="zh-CN"/>
              </w:rPr>
              <w:t>3</w:t>
            </w:r>
            <w:r>
              <w:rPr>
                <w:rFonts w:hint="eastAsia" w:ascii="仿宋_GB2312" w:hAnsi="仿宋_GB2312" w:eastAsia="仿宋_GB2312" w:cs="仿宋_GB2312"/>
                <w:b w:val="0"/>
                <w:color w:val="auto"/>
                <w:sz w:val="24"/>
                <w:szCs w:val="24"/>
              </w:rPr>
              <w:t>、决算和产权登记的汇总统计。</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2235" w:hRule="atLeast"/>
          <w:jc w:val="center"/>
        </w:trPr>
        <w:tc>
          <w:tcPr>
            <w:tcW w:w="617"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地方国有金融企业绩效评价</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44"/>
              </w:tabs>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对市级管理的国有金融企业运营情况进行统计分析，</w:t>
            </w:r>
            <w:r>
              <w:rPr>
                <w:rFonts w:hint="eastAsia" w:ascii="仿宋_GB2312" w:hAnsi="仿宋_GB2312" w:eastAsia="仿宋_GB2312" w:cs="仿宋_GB2312"/>
                <w:bCs/>
                <w:sz w:val="24"/>
                <w:szCs w:val="24"/>
                <w:lang w:eastAsia="zh-CN"/>
              </w:rPr>
              <w:t>为</w:t>
            </w:r>
            <w:r>
              <w:rPr>
                <w:rFonts w:hint="eastAsia" w:ascii="仿宋_GB2312" w:hAnsi="仿宋_GB2312" w:eastAsia="仿宋_GB2312" w:cs="仿宋_GB2312"/>
                <w:bCs/>
                <w:sz w:val="24"/>
                <w:szCs w:val="24"/>
              </w:rPr>
              <w:t>市财政局核定国有金融企业资本金收益</w:t>
            </w:r>
            <w:r>
              <w:rPr>
                <w:rFonts w:hint="eastAsia" w:ascii="仿宋_GB2312" w:hAnsi="仿宋_GB2312" w:eastAsia="仿宋_GB2312" w:cs="仿宋_GB2312"/>
                <w:bCs/>
                <w:sz w:val="24"/>
                <w:szCs w:val="24"/>
                <w:lang w:eastAsia="zh-CN"/>
              </w:rPr>
              <w:t>提供服务保障</w:t>
            </w:r>
            <w:r>
              <w:rPr>
                <w:rFonts w:hint="eastAsia" w:ascii="仿宋_GB2312" w:hAnsi="仿宋_GB2312" w:eastAsia="仿宋_GB2312" w:cs="仿宋_GB2312"/>
                <w:bCs/>
                <w:sz w:val="24"/>
                <w:szCs w:val="24"/>
              </w:rPr>
              <w:t>，并协助做好国有资本收益收缴工作。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参照省财政厅国有资本统计评价工作标准，统计梳理国有金融资本收益基本信息。</w:t>
            </w:r>
          </w:p>
        </w:tc>
        <w:tc>
          <w:tcPr>
            <w:tcW w:w="34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1、对相关单位开展统计梳理；</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、上报有关数据。</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3937" w:hRule="atLeast"/>
          <w:jc w:val="center"/>
        </w:trPr>
        <w:tc>
          <w:tcPr>
            <w:tcW w:w="61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3</w:t>
            </w:r>
          </w:p>
        </w:tc>
        <w:tc>
          <w:tcPr>
            <w:tcW w:w="150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政府债务评价分析</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地方政府债券发行基础性工作</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做好地方政府债券发行的信用评级、信息披露、项目评估等辅助性工作。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每年6月前完成政府债券存续期项目信息披露。新增债券发行7日前完成项目信息披露。</w:t>
            </w:r>
          </w:p>
        </w:tc>
        <w:tc>
          <w:tcPr>
            <w:tcW w:w="347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责任科室：政府债务评价科</w:t>
            </w:r>
          </w:p>
          <w:p>
            <w:pPr>
              <w:pStyle w:val="2"/>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地址：新城民生路616号市财政局办公楼729房间</w:t>
            </w:r>
          </w:p>
          <w:p>
            <w:pPr>
              <w:pStyle w:val="2"/>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联系方式：8620180</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1、市财政局确定发债项目；2、发债主体需提供项目可研报告、审批文件；3、第三方进行评估并出具财务评估报告、法律意见书及项目收益平衡方案。</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长期</w:t>
            </w:r>
          </w:p>
        </w:tc>
      </w:tr>
      <w:tr>
        <w:tblPrEx>
          <w:tblCellMar>
            <w:top w:w="0" w:type="dxa"/>
            <w:left w:w="0" w:type="dxa"/>
            <w:bottom w:w="0" w:type="dxa"/>
            <w:right w:w="0" w:type="dxa"/>
          </w:tblCellMar>
        </w:tblPrEx>
        <w:trPr>
          <w:trHeight w:val="2674" w:hRule="atLeast"/>
          <w:jc w:val="center"/>
        </w:trPr>
        <w:tc>
          <w:tcPr>
            <w:tcW w:w="617" w:type="dxa"/>
            <w:vMerge w:val="continue"/>
            <w:tcBorders>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政府债务风险监控、评估、测算等基础性工作</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实施政府债务风险监控、评估、测算等基础性工作。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按月上报监测数据。</w:t>
            </w:r>
          </w:p>
        </w:tc>
        <w:tc>
          <w:tcPr>
            <w:tcW w:w="3472"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每月初组织区（市）及市直部门（单位）通过网上平台进行数据填报，报经市财政局审核后报省厅。</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长期</w:t>
            </w:r>
          </w:p>
        </w:tc>
      </w:tr>
      <w:tr>
        <w:tblPrEx>
          <w:tblCellMar>
            <w:top w:w="0" w:type="dxa"/>
            <w:left w:w="0" w:type="dxa"/>
            <w:bottom w:w="0" w:type="dxa"/>
            <w:right w:w="0" w:type="dxa"/>
          </w:tblCellMar>
        </w:tblPrEx>
        <w:trPr>
          <w:trHeight w:val="1818" w:hRule="atLeast"/>
          <w:jc w:val="center"/>
        </w:trPr>
        <w:tc>
          <w:tcPr>
            <w:tcW w:w="61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政府债务政策研究和形势分析工作</w:t>
            </w:r>
          </w:p>
        </w:tc>
        <w:tc>
          <w:tcPr>
            <w:tcW w:w="38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实施政府债务研究和形势分析工作。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p>
        </w:tc>
        <w:tc>
          <w:tcPr>
            <w:tcW w:w="34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根据工作需要适时开展形势分析。</w:t>
            </w:r>
          </w:p>
        </w:tc>
        <w:tc>
          <w:tcPr>
            <w:tcW w:w="34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p>
        </w:tc>
        <w:tc>
          <w:tcPr>
            <w:tcW w:w="3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根据系统采集数据、调研结果等形成分析报告，为领导决策提供参考。</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长期</w:t>
            </w:r>
          </w:p>
        </w:tc>
      </w:tr>
      <w:tr>
        <w:tblPrEx>
          <w:tblCellMar>
            <w:top w:w="0" w:type="dxa"/>
            <w:left w:w="0" w:type="dxa"/>
            <w:bottom w:w="0" w:type="dxa"/>
            <w:right w:w="0" w:type="dxa"/>
          </w:tblCellMar>
        </w:tblPrEx>
        <w:trPr>
          <w:trHeight w:val="2094"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4</w:t>
            </w:r>
          </w:p>
        </w:tc>
        <w:tc>
          <w:tcPr>
            <w:tcW w:w="15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财政干部教育培训服务保障事项</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党员干部教育培训</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开展党员教育，提升党建工作水平和党员干部队伍素质。</w:t>
            </w:r>
          </w:p>
        </w:tc>
        <w:tc>
          <w:tcPr>
            <w:tcW w:w="1584"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注重学习内容的实效性、形式的多样化，满足培训质量、效果和时长等标准。</w:t>
            </w:r>
          </w:p>
        </w:tc>
        <w:tc>
          <w:tcPr>
            <w:tcW w:w="34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责任科室：财政干部教育科</w:t>
            </w:r>
          </w:p>
          <w:p>
            <w:pPr>
              <w:jc w:val="left"/>
              <w:rPr>
                <w:rFonts w:eastAsia="仿宋_GB2312"/>
              </w:rPr>
            </w:pPr>
            <w:r>
              <w:rPr>
                <w:rFonts w:hint="eastAsia" w:ascii="仿宋_GB2312" w:hAnsi="仿宋_GB2312" w:eastAsia="仿宋_GB2312" w:cs="仿宋_GB2312"/>
                <w:bCs/>
                <w:sz w:val="24"/>
                <w:szCs w:val="24"/>
              </w:rPr>
              <w:t>协办科室：办公室、人事科、党总支</w:t>
            </w:r>
          </w:p>
          <w:p>
            <w:pPr>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地址：新城民生路616号市财政局办公楼915室</w:t>
            </w:r>
          </w:p>
          <w:p>
            <w:pPr>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联系方式：3697268</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1、需求确认；2、培训计划；3、教学设计；4、实施培训；5、培训反馈。</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1952"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财政业务培训</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充分合理利用教育资源，开展财政业务培训，服务财政事业发展。</w:t>
            </w:r>
          </w:p>
        </w:tc>
        <w:tc>
          <w:tcPr>
            <w:tcW w:w="1584" w:type="dxa"/>
            <w:vMerge w:val="continue"/>
            <w:tcBorders>
              <w:left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紧密贴合工作需要，注重学习内容的实效性、形式的多样化，满足培训质量、效果和时长等标准。</w:t>
            </w:r>
          </w:p>
        </w:tc>
        <w:tc>
          <w:tcPr>
            <w:tcW w:w="34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1、需求确认；2、培训计划；3、教学设计；4、实施培训；5、培训反馈。</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5</w:t>
            </w:r>
          </w:p>
        </w:tc>
        <w:tc>
          <w:tcPr>
            <w:tcW w:w="15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会计服务</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会计专业技术人员继续教育</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组织辖区内行政、企业、事业单位以及社会团体等组织中具有会计专业技术资格的人员，或不具有会计专业技术资格但从事会计工作的人员免费参加继续教育。</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lang w:val="zh-CN"/>
              </w:rPr>
            </w:pPr>
            <w:r>
              <w:rPr>
                <w:rFonts w:hint="eastAsia" w:ascii="仿宋_GB2312" w:hAnsi="仿宋_GB2312" w:eastAsia="仿宋_GB2312" w:cs="仿宋_GB2312"/>
                <w:bCs/>
                <w:kern w:val="0"/>
                <w:lang w:val="zh-CN"/>
              </w:rPr>
              <w:t>会计专业技术人员继续教育实行统一规划、分级管理。</w:t>
            </w:r>
          </w:p>
        </w:tc>
        <w:tc>
          <w:tcPr>
            <w:tcW w:w="34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 xml:space="preserve">责任科室：会计服务科         </w:t>
            </w:r>
          </w:p>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 xml:space="preserve">地址：新城民生路616号市财政局办公楼912房间    </w:t>
            </w:r>
          </w:p>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联系方式：8687911</w:t>
            </w:r>
          </w:p>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20" w:lineRule="exact"/>
              <w:jc w:val="left"/>
              <w:rPr>
                <w:rFonts w:ascii="仿宋_GB2312" w:hAnsi="仿宋_GB2312" w:eastAsia="仿宋_GB2312" w:cs="仿宋_GB2312"/>
                <w:bCs/>
                <w:kern w:val="0"/>
                <w:lang w:val="zh-CN"/>
              </w:rPr>
            </w:pPr>
            <w:r>
              <w:rPr>
                <w:rFonts w:hint="eastAsia" w:ascii="仿宋_GB2312" w:hAnsi="仿宋_GB2312" w:eastAsia="仿宋_GB2312" w:cs="仿宋_GB2312"/>
                <w:bCs/>
                <w:kern w:val="0"/>
                <w:sz w:val="18"/>
                <w:szCs w:val="18"/>
              </w:rPr>
              <w:t>1</w:t>
            </w:r>
            <w:r>
              <w:rPr>
                <w:rFonts w:hint="eastAsia" w:ascii="仿宋_GB2312" w:hAnsi="仿宋_GB2312" w:eastAsia="仿宋_GB2312" w:cs="仿宋_GB2312"/>
                <w:bCs/>
                <w:kern w:val="0"/>
                <w:sz w:val="18"/>
                <w:szCs w:val="18"/>
                <w:lang w:val="zh-CN"/>
              </w:rPr>
              <w:t>、根据年度工作计划，制发我市会计专业技术人员继续教育有关工作通知，并及时在市财政局官网发布，同时通过会计信息网、QQ群、微信群等多渠道多方式发布；</w:t>
            </w:r>
            <w:r>
              <w:rPr>
                <w:rFonts w:hint="eastAsia" w:ascii="仿宋_GB2312" w:hAnsi="仿宋_GB2312" w:eastAsia="仿宋_GB2312" w:cs="仿宋_GB2312"/>
                <w:bCs/>
                <w:kern w:val="0"/>
                <w:sz w:val="18"/>
                <w:szCs w:val="18"/>
              </w:rPr>
              <w:t>2、</w:t>
            </w:r>
            <w:r>
              <w:rPr>
                <w:rFonts w:hint="eastAsia" w:ascii="仿宋_GB2312" w:hAnsi="仿宋_GB2312" w:eastAsia="仿宋_GB2312" w:cs="仿宋_GB2312"/>
                <w:bCs/>
                <w:kern w:val="0"/>
                <w:sz w:val="18"/>
                <w:szCs w:val="18"/>
                <w:lang w:val="zh-CN"/>
              </w:rPr>
              <w:t>参加继续教育人员需进行山东省会计人员信息采集，经审核通过后方可进行学习；</w:t>
            </w:r>
            <w:r>
              <w:rPr>
                <w:rFonts w:hint="eastAsia" w:ascii="仿宋_GB2312" w:hAnsi="仿宋_GB2312" w:eastAsia="仿宋_GB2312" w:cs="仿宋_GB2312"/>
                <w:bCs/>
                <w:kern w:val="0"/>
                <w:sz w:val="18"/>
                <w:szCs w:val="18"/>
              </w:rPr>
              <w:t>3、</w:t>
            </w:r>
            <w:r>
              <w:rPr>
                <w:rFonts w:hint="eastAsia" w:ascii="仿宋_GB2312" w:hAnsi="仿宋_GB2312" w:eastAsia="仿宋_GB2312" w:cs="仿宋_GB2312"/>
                <w:bCs/>
                <w:kern w:val="0"/>
                <w:sz w:val="18"/>
                <w:szCs w:val="18"/>
                <w:lang w:val="zh-CN"/>
              </w:rPr>
              <w:t>符合继续教育条件的学员，登录枣庄市会计管理网继续教育管理平台验证信息采集状态后，选择网校进行学习；</w:t>
            </w:r>
            <w:r>
              <w:rPr>
                <w:rFonts w:hint="eastAsia" w:ascii="仿宋_GB2312" w:hAnsi="仿宋_GB2312" w:eastAsia="仿宋_GB2312" w:cs="仿宋_GB2312"/>
                <w:bCs/>
                <w:kern w:val="0"/>
                <w:sz w:val="18"/>
                <w:szCs w:val="18"/>
              </w:rPr>
              <w:t>4、</w:t>
            </w:r>
            <w:r>
              <w:rPr>
                <w:rFonts w:hint="eastAsia" w:ascii="仿宋_GB2312" w:hAnsi="仿宋_GB2312" w:eastAsia="仿宋_GB2312" w:cs="仿宋_GB2312"/>
                <w:bCs/>
                <w:kern w:val="0"/>
                <w:sz w:val="18"/>
                <w:szCs w:val="18"/>
                <w:lang w:val="zh-CN"/>
              </w:rPr>
              <w:t>完成继续教育后，可自行打印成绩单留存。</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全国会计专业技术资格考试（初、中、高级）</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组织实施会计专业技术资格考试，培养和选拔会计专业人才。</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科学、客观、公正地评价会计专业人员的学识水平和业务能力，完善会计专业技术人才选拔机制。</w:t>
            </w:r>
          </w:p>
        </w:tc>
        <w:tc>
          <w:tcPr>
            <w:tcW w:w="34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2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18"/>
                <w:szCs w:val="18"/>
              </w:rPr>
              <w:t>1、根据全国会计专业技术资格考试考务日程安排及有关事项的通知，发布考试报名通知；2、符合报名条件的会计人员登录网站填报信息；3、市及区（市）按属地原则组织资格审查，其中，初级考试实行网上自动审核，中级考试初次报名者进行现场审核，高级会计师资格考试报名者由市级进行现场审核；4、对于不符合报名条件的会计人员审核不予通过，并告知本人原因；对于符合报名条件的会计人员通过审核，考生本人网上交费，打印报名回执，确认报名成功。</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注册会计师全国统一考试</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组织实施全国注册会计师统一考试，选拔符合职业准入资质的优秀人才。</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科学、客观、公正地评价会计专业人员的学识水平和业务能力，将符合职业准入资质的优秀人才选拔出来，保持和提升注册会计师队伍的职业化水平。</w:t>
            </w:r>
          </w:p>
        </w:tc>
        <w:tc>
          <w:tcPr>
            <w:tcW w:w="34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20" w:lineRule="exact"/>
              <w:jc w:val="left"/>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1、财政部考办在每年度考试成绩发放之后和次年成绩核查结果公布之后，发放自动生成的专业阶段合格证书；2. 专业阶段考试合格证申请人姓名或者身份证件发生变更的，需提供户口簿复印件、身份证复印件、户籍所在地派出所出具的加盖户口专用章的户籍证明原件或身份证变更相关证明的原件或复印件，如为复印件，需注明“原件已审核，复印件与原件一致”，并加盖地方考办公章；3. 报名时因手工录入错误或姓名中有无法录入的偏难字，造成与专业阶段考试合格证申请人真实姓名或身份证件号不符的，专业阶段考试合格证申请人需提供身份证件的复印件，地方考办出具证明或以往年度偏难字表，由经办人签字并加盖地方考办公章；4. 专业阶段考试合格证申请人如有通过成绩核查、获准免试等情形的，地方考办在专业阶段考试合格证申报表中相关专业阶段考试合格证申请人的备注栏中用签字笔注明财政部考办批准的文件号；5. 专业阶段合格证持有人如将专业阶段考试合格证丢失或毁损的，财政部考办不予补发。专业阶段合格证持有人可以向地方考办提出办理成绩证明申请。地方考办经审核无误后，以文件形式上报财政部考办。财政部考办审核无误后30个工作日内向其出具专业阶段考试合格成绩证明，由地方考办发放；6. 以前年度取得专业阶段考试合格成绩后，未及时申请换发专业阶段考试合格证的，应向地方考办申请办理换发。地方考办在收到申请后按当年度换发申请一起上报，财政部考办按当年度的编号赋予专业阶段考试合格证号；7. 专业阶段考试合格证申请人取得专业阶段考试合格证后要求变更姓名或身份证件号的，地方考办应在综合阶段职业能力综合测试报名前办理完成。</w:t>
            </w:r>
          </w:p>
        </w:tc>
        <w:tc>
          <w:tcPr>
            <w:tcW w:w="720" w:type="dxa"/>
            <w:tcBorders>
              <w:top w:val="single" w:color="auto" w:sz="4" w:space="0"/>
              <w:left w:val="single" w:color="auto" w:sz="4" w:space="0"/>
              <w:bottom w:val="nil"/>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会计人员信息采集</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通过信息采集，掌握全市录入会计人员按照全国会计人员信息管理要求列示的最基本信息。</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全面、客观、及时掌握全市会计人员基本信息，为会计专业技术资格考试与评审、继续教育、培训报名、人才选拔等工作提供信息检索和核查。</w:t>
            </w:r>
          </w:p>
        </w:tc>
        <w:tc>
          <w:tcPr>
            <w:tcW w:w="34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20" w:lineRule="exact"/>
              <w:jc w:val="left"/>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登录山东省财政厅官网，进入后点击右下角“山东会计管理”，进入山东省财政厅会计处网站页面。点击中下部中间的“会计人员信息采集入口”  即可进入业务办理页面。点击进入后，首先阅读采集须知（必读），如不确定是否在采集范围内，可点击左侧“判断是否符合采集条件”进行判断，如符合，则直接进入采集页面。如确定符合采集条件，则可点击右侧“直接进入采集系统”，进行采集。</w:t>
            </w:r>
          </w:p>
        </w:tc>
        <w:tc>
          <w:tcPr>
            <w:tcW w:w="720"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r>
        <w:tblPrEx>
          <w:tblCellMar>
            <w:top w:w="0" w:type="dxa"/>
            <w:left w:w="0" w:type="dxa"/>
            <w:bottom w:w="0" w:type="dxa"/>
            <w:right w:w="0" w:type="dxa"/>
          </w:tblCellMar>
        </w:tblPrEx>
        <w:trPr>
          <w:trHeight w:val="709"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6</w:t>
            </w:r>
          </w:p>
        </w:tc>
        <w:tc>
          <w:tcPr>
            <w:tcW w:w="15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rPr>
                <w:rFonts w:ascii="仿宋_GB2312" w:hAnsi="仿宋_GB2312" w:eastAsia="仿宋_GB2312" w:cs="仿宋_GB2312"/>
                <w:bCs/>
                <w:kern w:val="0"/>
              </w:rPr>
            </w:pPr>
            <w:r>
              <w:rPr>
                <w:rFonts w:hint="eastAsia" w:ascii="仿宋_GB2312" w:hAnsi="仿宋_GB2312" w:eastAsia="仿宋_GB2312" w:cs="仿宋_GB2312"/>
                <w:bCs/>
              </w:rPr>
              <w:t>中华珠算博物馆的运行、维护和管理工作。</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_GB2312" w:eastAsia="仿宋_GB2312" w:cs="仿宋_GB2312"/>
                <w:bCs/>
              </w:rPr>
            </w:pPr>
            <w:r>
              <w:rPr>
                <w:rFonts w:hint="eastAsia" w:ascii="仿宋_GB2312" w:hAnsi="仿宋_GB2312" w:eastAsia="仿宋_GB2312" w:cs="仿宋_GB2312"/>
                <w:bCs/>
              </w:rPr>
              <w:t>珠算馆日常运行</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_GB2312" w:eastAsia="仿宋_GB2312" w:cs="仿宋_GB2312"/>
                <w:bCs/>
              </w:rPr>
            </w:pPr>
            <w:r>
              <w:rPr>
                <w:rFonts w:hint="eastAsia" w:ascii="仿宋_GB2312" w:hAnsi="仿宋_GB2312" w:eastAsia="仿宋_GB2312" w:cs="仿宋_GB2312"/>
                <w:bCs/>
              </w:rPr>
              <w:t>为珠算博物馆的正常运营提供保障和服务。</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_GB2312" w:eastAsia="仿宋_GB2312" w:cs="仿宋_GB2312"/>
                <w:bCs/>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rPr>
                <w:rFonts w:ascii="仿宋_GB2312" w:hAnsi="仿宋_GB2312" w:eastAsia="仿宋_GB2312" w:cs="仿宋_GB2312"/>
                <w:bCs/>
              </w:rPr>
            </w:pPr>
            <w:r>
              <w:rPr>
                <w:rFonts w:hint="eastAsia" w:ascii="仿宋_GB2312" w:hAnsi="仿宋_GB2312" w:eastAsia="仿宋_GB2312" w:cs="仿宋_GB2312"/>
                <w:bCs/>
              </w:rPr>
              <w:t>按照台儿庄古城景区展馆统一运行要求，做到展馆按时开放、讲解服务及时、人员疏导有序、基础设施正常运转、环境整洁卫生。</w:t>
            </w:r>
          </w:p>
        </w:tc>
        <w:tc>
          <w:tcPr>
            <w:tcW w:w="34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责任科室：学会协会服务科</w:t>
            </w:r>
          </w:p>
          <w:p>
            <w:pPr>
              <w:pStyle w:val="2"/>
              <w:spacing w:line="400" w:lineRule="exact"/>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地址：新城民生路616号市财政局办公楼913房间</w:t>
            </w:r>
          </w:p>
          <w:p>
            <w:pPr>
              <w:spacing w:line="400" w:lineRule="exact"/>
              <w:rPr>
                <w:rFonts w:ascii="仿宋_GB2312" w:hAnsi="仿宋_GB2312" w:eastAsia="仿宋_GB2312" w:cs="仿宋_GB2312"/>
                <w:bCs/>
              </w:rPr>
            </w:pPr>
            <w:r>
              <w:rPr>
                <w:rFonts w:hint="eastAsia" w:ascii="仿宋_GB2312" w:hAnsi="仿宋_GB2312" w:eastAsia="仿宋_GB2312" w:cs="仿宋_GB2312"/>
                <w:sz w:val="24"/>
                <w:szCs w:val="24"/>
              </w:rPr>
              <w:t>联系方式：3697278</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_GB2312" w:eastAsia="仿宋_GB2312" w:cs="仿宋_GB2312"/>
                <w:bCs/>
              </w:rPr>
            </w:pPr>
            <w:r>
              <w:rPr>
                <w:rFonts w:hint="eastAsia" w:ascii="仿宋_GB2312" w:hAnsi="仿宋_GB2312" w:eastAsia="仿宋_GB2312" w:cs="仿宋_GB2312"/>
                <w:bCs/>
              </w:rPr>
              <w:t>1、展馆服务人员按时正常运营，定时维护展馆设施和环境；2、科室人员开展现场督导或电话方式调度情况，同时不定时检查。</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rPr>
            </w:pPr>
            <w:r>
              <w:rPr>
                <w:rFonts w:hint="eastAsia" w:ascii="仿宋_GB2312" w:hAnsi="仿宋_GB2312" w:eastAsia="仿宋_GB2312" w:cs="仿宋_GB2312"/>
                <w:bCs/>
              </w:rPr>
              <w:t>珠算馆的安全</w:t>
            </w:r>
          </w:p>
        </w:tc>
        <w:tc>
          <w:tcPr>
            <w:tcW w:w="38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履行展馆消防和安全责任，维护展馆、馆藏、设施的安全。</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ind w:firstLine="199" w:firstLineChars="100"/>
              <w:jc w:val="left"/>
              <w:rPr>
                <w:rFonts w:ascii="仿宋_GB2312" w:hAnsi="仿宋_GB2312" w:eastAsia="仿宋_GB2312" w:cs="仿宋_GB2312"/>
                <w:bCs/>
              </w:rPr>
            </w:pPr>
          </w:p>
        </w:tc>
        <w:tc>
          <w:tcPr>
            <w:tcW w:w="34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遵守古城景区消防和安全规定，确保展馆安保人员认真履职，消防、监控等设备正常运转。</w:t>
            </w:r>
          </w:p>
        </w:tc>
        <w:tc>
          <w:tcPr>
            <w:tcW w:w="34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p>
        </w:tc>
        <w:tc>
          <w:tcPr>
            <w:tcW w:w="3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bCs/>
              </w:rPr>
            </w:pPr>
            <w:r>
              <w:rPr>
                <w:rFonts w:hint="eastAsia" w:ascii="仿宋_GB2312" w:hAnsi="仿宋_GB2312" w:eastAsia="仿宋_GB2312" w:cs="仿宋_GB2312"/>
                <w:bCs/>
              </w:rPr>
              <w:t>1、服从景区消防和安全统一安排，不定期开展消防演练和安全检查；2、科室人员开展现场督导或电话方式调度情况，同时不定时检查。</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楷体_GB2312" w:hAnsi="宋体" w:eastAsia="楷体_GB2312"/>
                <w:b/>
                <w:bCs/>
                <w:color w:val="000000"/>
                <w:sz w:val="24"/>
                <w:szCs w:val="24"/>
              </w:rPr>
            </w:pPr>
            <w:r>
              <w:rPr>
                <w:rFonts w:hint="eastAsia" w:ascii="楷体_GB2312" w:hAnsi="宋体" w:eastAsia="楷体_GB2312"/>
                <w:b/>
                <w:bCs/>
                <w:color w:val="000000"/>
                <w:sz w:val="24"/>
                <w:szCs w:val="24"/>
              </w:rPr>
              <w:t>7</w:t>
            </w:r>
          </w:p>
        </w:tc>
        <w:tc>
          <w:tcPr>
            <w:tcW w:w="15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财政非税服务</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财政票据申领</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汇总用票单位财政票据用票计划，及时上报，受理用票单位申领票据。</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及时受理财政票据的申领，确保票据领购、核发工作有序高效。</w:t>
            </w:r>
          </w:p>
        </w:tc>
        <w:tc>
          <w:tcPr>
            <w:tcW w:w="3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责任科室：非税收入服务科</w:t>
            </w:r>
          </w:p>
          <w:p>
            <w:pPr>
              <w:adjustRightInd w:val="0"/>
              <w:snapToGrid w:val="0"/>
              <w:spacing w:line="58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地址：民生路616号市财政局办公楼914房间</w:t>
            </w:r>
          </w:p>
          <w:p>
            <w:pPr>
              <w:adjustRightInd w:val="0"/>
              <w:snapToGrid w:val="0"/>
              <w:spacing w:line="58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zh-CN"/>
              </w:rPr>
              <w:t>联系方式：3256035</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bCs/>
                <w:kern w:val="0"/>
              </w:rPr>
            </w:pPr>
            <w:r>
              <w:rPr>
                <w:rFonts w:hint="eastAsia" w:ascii="仿宋_GB2312" w:hAnsi="仿宋_GB2312" w:eastAsia="仿宋_GB2312" w:cs="仿宋_GB2312"/>
              </w:rPr>
              <w:t xml:space="preserve">1、根据本地用票需求向上级财政部门报送用票计划，上级财政部门审核后发放财政票据；2、单位按财务隶属关系向同级财政票据服务机构提出领票申请；3、单位首次领购财政票据应当按照规定程序办理《财政票据领购证》，办理《领购证》需提交申请函、单位法人证书、组织机构代码证书副本原件及复印件，填写《财政票据领购证申请表》，并按照领购财政票据的类别提交相关依据。领购非税收入类票据，应根据收取的非税收入的性质分别提交下列依据：收取行政事业性收费的，提交国务院或者省级人民政府及其财政、价格主管部门批准收取行政事业性收费的文件复印件；收取政府性基金的，提交国务院或者财政部批准收取政府性基金的文件复印件；收取国有资源（资产）收入的，提交国务院或者省级人民政府及其财政部门批准收取国有资源收入的文件复印件，或者有关部门批准出租、出借、处置国有资产的文件复印件；收取罚没收入的，提交证明本单位具有罚没处罚权限的法律依据。领购其他财政票据的分别提交：领购公益事业捐赠票据的，提交本单位符合接受捐赠条件的依据；领购医疗收费票据的，提交《医疗机构执业许可证》以及县级以上价格主管部门批准的收费文件复印件；领购社会团体会费票据的，提交社会团体章程以及收取会费的依据；同级财政部门要求的其他材料。                                                                                                                       </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kern w:val="0"/>
                <w:lang w:val="zh-CN"/>
              </w:rPr>
            </w:pPr>
            <w:r>
              <w:rPr>
                <w:rFonts w:hint="eastAsia" w:ascii="仿宋_GB2312" w:hAnsi="仿宋_GB2312" w:eastAsia="仿宋_GB2312" w:cs="仿宋_GB2312"/>
                <w:bCs/>
                <w:kern w:val="0"/>
                <w:lang w:val="zh-CN"/>
              </w:rPr>
              <w:t>长期</w:t>
            </w:r>
          </w:p>
        </w:tc>
      </w:tr>
      <w:tr>
        <w:tblPrEx>
          <w:tblCellMar>
            <w:top w:w="0" w:type="dxa"/>
            <w:left w:w="0" w:type="dxa"/>
            <w:bottom w:w="0" w:type="dxa"/>
            <w:right w:w="0" w:type="dxa"/>
          </w:tblCellMar>
        </w:tblPrEx>
        <w:trPr>
          <w:trHeight w:val="1472" w:hRule="atLeast"/>
          <w:jc w:val="center"/>
        </w:trPr>
        <w:tc>
          <w:tcPr>
            <w:tcW w:w="617"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财政票据发放</w:t>
            </w:r>
          </w:p>
        </w:tc>
        <w:tc>
          <w:tcPr>
            <w:tcW w:w="389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发放财政票据</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12"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72"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bCs/>
                <w:color w:val="000000"/>
              </w:rPr>
            </w:pPr>
            <w:r>
              <w:rPr>
                <w:rFonts w:hint="eastAsia" w:ascii="仿宋_GB2312" w:hAnsi="仿宋_GB2312" w:eastAsia="仿宋_GB2312" w:cs="仿宋_GB2312"/>
              </w:rPr>
              <w:t xml:space="preserve">对申请单位提交的材料进行审核，对符合条件的单位，核发《领购证》，并发放财政票据。 </w:t>
            </w:r>
          </w:p>
        </w:tc>
        <w:tc>
          <w:tcPr>
            <w:tcW w:w="72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3109" w:hRule="atLeast"/>
          <w:jc w:val="center"/>
        </w:trPr>
        <w:tc>
          <w:tcPr>
            <w:tcW w:w="617"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财政票据核销</w:t>
            </w:r>
          </w:p>
        </w:tc>
        <w:tc>
          <w:tcPr>
            <w:tcW w:w="3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72" w:type="dxa"/>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bCs/>
                <w:color w:val="000000"/>
              </w:rPr>
            </w:pPr>
            <w:r>
              <w:rPr>
                <w:rFonts w:hint="eastAsia" w:ascii="仿宋_GB2312" w:hAnsi="仿宋_GB2312" w:eastAsia="仿宋_GB2312" w:cs="仿宋_GB2312"/>
              </w:rPr>
              <w:t xml:space="preserve">1、单位再次领购财政票据，应出示《领购证》，提供前次票据使用情况，包括票据的种类、册（份）数、起止号码、使用份数、作废份数、收取金额及票据存根等内容；2、核销财政票据存根，并发放新的财政票据。   </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sz w:val="24"/>
                <w:szCs w:val="24"/>
              </w:rPr>
            </w:pPr>
          </w:p>
        </w:tc>
      </w:tr>
      <w:tr>
        <w:tblPrEx>
          <w:tblCellMar>
            <w:top w:w="0" w:type="dxa"/>
            <w:left w:w="0" w:type="dxa"/>
            <w:bottom w:w="0" w:type="dxa"/>
            <w:right w:w="0" w:type="dxa"/>
          </w:tblCellMar>
        </w:tblPrEx>
        <w:trPr>
          <w:trHeight w:val="5655" w:hRule="atLeast"/>
          <w:jc w:val="center"/>
        </w:trPr>
        <w:tc>
          <w:tcPr>
            <w:tcW w:w="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09"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财政票据的销毁</w:t>
            </w: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rPr>
              <w:t>财政票据存根保存期限一般为5年，期满后需要销毁的，报经查验后销毁；尚未使用但应予作废销毁的，使用单位应当登记造册，报经核准、销毁。</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color w:val="000000"/>
                <w:sz w:val="24"/>
                <w:szCs w:val="24"/>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cs="仿宋_GB2312"/>
                <w:bCs/>
                <w:color w:val="000000"/>
                <w:sz w:val="24"/>
                <w:szCs w:val="24"/>
              </w:rPr>
            </w:pPr>
          </w:p>
        </w:tc>
        <w:tc>
          <w:tcPr>
            <w:tcW w:w="3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rPr>
                <w:rFonts w:ascii="仿宋_GB2312" w:hAnsi="仿宋_GB2312" w:eastAsia="仿宋_GB2312" w:cs="仿宋_GB2312"/>
                <w:bCs/>
                <w:color w:val="000000"/>
                <w:sz w:val="24"/>
                <w:szCs w:val="24"/>
              </w:rPr>
            </w:pP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bCs/>
                <w:color w:val="000000"/>
              </w:rPr>
            </w:pPr>
            <w:r>
              <w:rPr>
                <w:rFonts w:hint="eastAsia" w:ascii="仿宋_GB2312" w:hAnsi="仿宋_GB2312" w:eastAsia="仿宋_GB2312" w:cs="仿宋_GB2312"/>
              </w:rPr>
              <w:t xml:space="preserve">使用单位发生合并、分立、撤销、职权变更，或者收费项目被依法取消或者名称变更的，应当自变动之日起15日内，办理《领购证》的变更或者注销手续；对已使用财政票据的存根和尚未使用的财政票据应当分别登记造册，报统计财政票据服务机构核准、销毁。 财政票据或者《领购证》灭失的，财政票据使用单位应当查明原因，及时以书面形式报告原核发票据的财政票据服务机构，并自发现之日起3日内登报声明作废。     </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_GB2312" w:hAnsi="仿宋_GB2312" w:eastAsia="仿宋_GB2312" w:cs="仿宋_GB2312"/>
                <w:bCs/>
                <w:sz w:val="24"/>
                <w:szCs w:val="24"/>
              </w:rPr>
            </w:pPr>
          </w:p>
        </w:tc>
      </w:tr>
      <w:tr>
        <w:tblPrEx>
          <w:tblCellMar>
            <w:top w:w="0" w:type="dxa"/>
            <w:left w:w="0" w:type="dxa"/>
            <w:bottom w:w="0" w:type="dxa"/>
            <w:right w:w="0" w:type="dxa"/>
          </w:tblCellMar>
        </w:tblPrEx>
        <w:trPr>
          <w:trHeight w:val="709" w:hRule="atLeast"/>
          <w:jc w:val="center"/>
        </w:trPr>
        <w:tc>
          <w:tcPr>
            <w:tcW w:w="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8</w:t>
            </w:r>
          </w:p>
        </w:tc>
        <w:tc>
          <w:tcPr>
            <w:tcW w:w="15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 w:eastAsia="仿宋_GB2312"/>
                <w:bCs/>
                <w:color w:val="974706"/>
                <w:sz w:val="24"/>
                <w:szCs w:val="24"/>
              </w:rPr>
            </w:pPr>
            <w:r>
              <w:rPr>
                <w:rFonts w:hint="eastAsia" w:ascii="仿宋_GB2312" w:hAnsi="宋体" w:eastAsia="仿宋_GB2312" w:cs="仿宋_GB2312"/>
                <w:bCs/>
                <w:color w:val="000000"/>
                <w:kern w:val="0"/>
                <w:sz w:val="24"/>
                <w:szCs w:val="24"/>
              </w:rPr>
              <w:t>社会保障资金服务</w:t>
            </w:r>
          </w:p>
        </w:tc>
        <w:tc>
          <w:tcPr>
            <w:tcW w:w="2898"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 w:eastAsia="仿宋_GB2312"/>
                <w:bCs/>
                <w:sz w:val="24"/>
                <w:szCs w:val="24"/>
              </w:rPr>
            </w:pPr>
            <w:r>
              <w:rPr>
                <w:rFonts w:hint="eastAsia" w:ascii="仿宋_GB2312" w:hAnsi="仿宋_GB2312" w:eastAsia="仿宋_GB2312"/>
                <w:bCs/>
                <w:sz w:val="24"/>
                <w:szCs w:val="24"/>
              </w:rPr>
              <w:t>参与社会保障资金财务管理制度的实施工作</w:t>
            </w:r>
          </w:p>
        </w:tc>
        <w:tc>
          <w:tcPr>
            <w:tcW w:w="3894"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 w:eastAsia="仿宋_GB2312"/>
                <w:bCs/>
                <w:sz w:val="24"/>
                <w:szCs w:val="24"/>
              </w:rPr>
            </w:pPr>
            <w:r>
              <w:rPr>
                <w:rFonts w:hint="eastAsia" w:ascii="仿宋_GB2312" w:hAnsi="仿宋_GB2312" w:eastAsia="仿宋_GB2312"/>
                <w:bCs/>
                <w:sz w:val="24"/>
                <w:szCs w:val="24"/>
              </w:rPr>
              <w:t>参与社会保障资金财务管理制度的实施，为贯彻落实</w:t>
            </w:r>
            <w:r>
              <w:rPr>
                <w:rFonts w:hint="eastAsia" w:ascii="仿宋_GB2312" w:hAnsi="宋体" w:eastAsia="仿宋_GB2312" w:cs="仿宋_GB2312"/>
                <w:bCs/>
                <w:kern w:val="0"/>
                <w:sz w:val="24"/>
                <w:szCs w:val="24"/>
              </w:rPr>
              <w:t>社会保障资金政策服务。</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 w:eastAsia="仿宋_GB2312"/>
                <w:bCs/>
                <w:sz w:val="24"/>
                <w:szCs w:val="24"/>
              </w:rPr>
            </w:pPr>
          </w:p>
        </w:tc>
        <w:tc>
          <w:tcPr>
            <w:tcW w:w="3412"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rPr>
                <w:rFonts w:ascii="仿宋_GB2312" w:hAnsi="仿宋" w:eastAsia="仿宋_GB2312"/>
                <w:bCs/>
                <w:sz w:val="24"/>
                <w:szCs w:val="24"/>
              </w:rPr>
            </w:pPr>
            <w:r>
              <w:rPr>
                <w:rFonts w:hint="eastAsia" w:ascii="仿宋_GB2312" w:hAnsi="仿宋" w:eastAsia="仿宋_GB2312"/>
                <w:bCs/>
                <w:sz w:val="24"/>
                <w:szCs w:val="24"/>
              </w:rPr>
              <w:t>提高社会保障资金管理工作服务水平，促进</w:t>
            </w:r>
            <w:r>
              <w:rPr>
                <w:rFonts w:hint="eastAsia" w:ascii="仿宋_GB2312" w:hAnsi="仿宋_GB2312" w:eastAsia="仿宋_GB2312"/>
                <w:bCs/>
                <w:sz w:val="24"/>
                <w:szCs w:val="24"/>
              </w:rPr>
              <w:t>有关资金（基金）财务管理制度的实施。</w:t>
            </w:r>
          </w:p>
        </w:tc>
        <w:tc>
          <w:tcPr>
            <w:tcW w:w="347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宋体" w:eastAsia="仿宋_GB2312" w:cs="仿宋_GB2312"/>
                <w:bCs/>
                <w:kern w:val="0"/>
                <w:sz w:val="24"/>
                <w:szCs w:val="24"/>
              </w:rPr>
            </w:pPr>
            <w:r>
              <w:rPr>
                <w:rFonts w:hint="eastAsia" w:ascii="仿宋_GB2312" w:hAnsi="宋体" w:eastAsia="仿宋_GB2312" w:cs="仿宋_GB2312"/>
                <w:bCs/>
                <w:kern w:val="0"/>
                <w:sz w:val="24"/>
                <w:szCs w:val="24"/>
              </w:rPr>
              <w:t>责任科室：社会保障资金服务科</w:t>
            </w:r>
          </w:p>
          <w:p>
            <w:pPr>
              <w:adjustRightInd w:val="0"/>
              <w:snapToGrid w:val="0"/>
              <w:spacing w:line="540" w:lineRule="exact"/>
              <w:jc w:val="left"/>
              <w:rPr>
                <w:rFonts w:ascii="仿宋_GB2312" w:hAnsi="宋体" w:eastAsia="仿宋_GB2312" w:cs="仿宋_GB2312"/>
                <w:bCs/>
                <w:kern w:val="0"/>
                <w:sz w:val="24"/>
                <w:szCs w:val="24"/>
              </w:rPr>
            </w:pPr>
            <w:r>
              <w:rPr>
                <w:rFonts w:hint="eastAsia" w:ascii="仿宋_GB2312" w:hAnsi="宋体" w:eastAsia="仿宋_GB2312" w:cs="仿宋_GB2312"/>
                <w:bCs/>
                <w:kern w:val="0"/>
                <w:sz w:val="24"/>
                <w:szCs w:val="24"/>
              </w:rPr>
              <w:t>地址：新城民生路616号市财政局办公楼904房间</w:t>
            </w:r>
          </w:p>
          <w:p>
            <w:pPr>
              <w:adjustRightInd w:val="0"/>
              <w:snapToGrid w:val="0"/>
              <w:spacing w:line="540" w:lineRule="exact"/>
              <w:jc w:val="left"/>
              <w:rPr>
                <w:rFonts w:ascii="仿宋_GB2312" w:hAnsi="仿宋" w:eastAsia="仿宋_GB2312"/>
                <w:bCs/>
                <w:sz w:val="24"/>
                <w:szCs w:val="24"/>
              </w:rPr>
            </w:pPr>
            <w:r>
              <w:rPr>
                <w:rFonts w:hint="eastAsia" w:ascii="仿宋_GB2312" w:hAnsi="宋体" w:eastAsia="仿宋_GB2312" w:cs="仿宋_GB2312"/>
                <w:bCs/>
                <w:kern w:val="0"/>
                <w:sz w:val="24"/>
                <w:szCs w:val="24"/>
              </w:rPr>
              <w:t>联系方式：</w:t>
            </w:r>
            <w:r>
              <w:rPr>
                <w:rFonts w:ascii="仿宋_GB2312" w:hAnsi="宋体" w:eastAsia="仿宋_GB2312" w:cs="仿宋_GB2312"/>
                <w:bCs/>
                <w:kern w:val="0"/>
                <w:sz w:val="24"/>
                <w:szCs w:val="24"/>
              </w:rPr>
              <w:t>3128287</w:t>
            </w:r>
          </w:p>
        </w:tc>
        <w:tc>
          <w:tcPr>
            <w:tcW w:w="304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黑体" w:eastAsia="仿宋_GB2312" w:cs="黑体"/>
                <w:bCs/>
                <w:color w:val="000000"/>
                <w:sz w:val="24"/>
                <w:szCs w:val="24"/>
              </w:rPr>
            </w:pPr>
            <w:r>
              <w:rPr>
                <w:rFonts w:hint="eastAsia" w:ascii="仿宋_GB2312" w:hAnsi="仿宋" w:eastAsia="仿宋_GB2312"/>
                <w:bCs/>
                <w:sz w:val="24"/>
                <w:szCs w:val="24"/>
              </w:rPr>
              <w:t>结合</w:t>
            </w:r>
            <w:r>
              <w:rPr>
                <w:rFonts w:hint="eastAsia" w:ascii="仿宋_GB2312" w:hAnsi="仿宋_GB2312" w:eastAsia="仿宋_GB2312"/>
                <w:bCs/>
                <w:sz w:val="24"/>
                <w:szCs w:val="24"/>
              </w:rPr>
              <w:t>社会保障政策需求，配合、参与开展</w:t>
            </w:r>
            <w:r>
              <w:rPr>
                <w:rFonts w:hint="eastAsia" w:ascii="仿宋_GB2312" w:hAnsi="仿宋" w:eastAsia="仿宋_GB2312"/>
                <w:sz w:val="24"/>
                <w:szCs w:val="24"/>
              </w:rPr>
              <w:t>农民工就业和疫情工作等热点、难点问题的调研和实施工作</w:t>
            </w:r>
            <w:r>
              <w:rPr>
                <w:rFonts w:hint="eastAsia" w:ascii="仿宋_GB2312" w:eastAsia="仿宋_GB2312"/>
                <w:sz w:val="24"/>
                <w:szCs w:val="24"/>
              </w:rPr>
              <w:t>，做好跟踪服务。</w:t>
            </w:r>
          </w:p>
        </w:tc>
        <w:tc>
          <w:tcPr>
            <w:tcW w:w="72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 w:eastAsia="仿宋_GB2312"/>
                <w:bCs/>
                <w:sz w:val="24"/>
                <w:szCs w:val="24"/>
              </w:rPr>
            </w:pPr>
            <w:r>
              <w:rPr>
                <w:rFonts w:hint="eastAsia" w:ascii="仿宋_GB2312" w:hAnsi="仿宋" w:eastAsia="仿宋_GB2312"/>
                <w:bCs/>
                <w:sz w:val="24"/>
                <w:szCs w:val="24"/>
              </w:rPr>
              <w:t>长期</w:t>
            </w: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p>
        </w:tc>
        <w:tc>
          <w:tcPr>
            <w:tcW w:w="15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p>
        </w:tc>
        <w:tc>
          <w:tcPr>
            <w:tcW w:w="28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Arial" w:eastAsia="仿宋_GB2312" w:cs="Arial"/>
                <w:bCs/>
                <w:sz w:val="24"/>
                <w:szCs w:val="24"/>
              </w:rPr>
            </w:pPr>
            <w:r>
              <w:rPr>
                <w:rFonts w:hint="eastAsia" w:ascii="仿宋_GB2312" w:hAnsi="仿宋_GB2312" w:eastAsia="仿宋_GB2312"/>
                <w:bCs/>
                <w:sz w:val="24"/>
                <w:szCs w:val="24"/>
              </w:rPr>
              <w:t>参与全市社会保险基金预决算编制统计汇总工作等</w:t>
            </w:r>
          </w:p>
        </w:tc>
        <w:tc>
          <w:tcPr>
            <w:tcW w:w="389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宋体" w:eastAsia="仿宋_GB2312"/>
                <w:bCs/>
                <w:sz w:val="24"/>
                <w:szCs w:val="24"/>
              </w:rPr>
            </w:pPr>
            <w:r>
              <w:rPr>
                <w:rFonts w:hint="eastAsia" w:ascii="仿宋_GB2312" w:hAnsi="仿宋_GB2312" w:eastAsia="仿宋_GB2312"/>
                <w:bCs/>
                <w:sz w:val="24"/>
                <w:szCs w:val="24"/>
              </w:rPr>
              <w:t>参与全市社会保险基金预决算编制统计汇总工作，</w:t>
            </w:r>
            <w:r>
              <w:rPr>
                <w:rFonts w:hint="eastAsia" w:ascii="仿宋_GB2312" w:hAnsi="宋体" w:eastAsia="仿宋_GB2312" w:cs="仿宋_GB2312"/>
                <w:kern w:val="0"/>
                <w:sz w:val="24"/>
                <w:szCs w:val="24"/>
              </w:rPr>
              <w:t>进一步提高社保资金效益。</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rPr>
                <w:rFonts w:ascii="仿宋_GB2312" w:hAnsi="宋体" w:eastAsia="仿宋_GB2312"/>
                <w:bCs/>
                <w:sz w:val="24"/>
                <w:szCs w:val="24"/>
              </w:rPr>
            </w:pPr>
          </w:p>
        </w:tc>
        <w:tc>
          <w:tcPr>
            <w:tcW w:w="34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宋体" w:eastAsia="仿宋_GB2312"/>
                <w:bCs/>
                <w:sz w:val="24"/>
                <w:szCs w:val="24"/>
              </w:rPr>
            </w:pPr>
            <w:r>
              <w:rPr>
                <w:rFonts w:hint="eastAsia" w:ascii="仿宋_GB2312" w:hAnsi="仿宋" w:eastAsia="仿宋_GB2312"/>
                <w:bCs/>
                <w:sz w:val="24"/>
                <w:szCs w:val="24"/>
              </w:rPr>
              <w:t>配合局机关提高服务水平，</w:t>
            </w:r>
            <w:r>
              <w:rPr>
                <w:rFonts w:hint="eastAsia" w:ascii="仿宋_GB2312" w:hAnsi="宋体" w:eastAsia="仿宋_GB2312" w:cs="仿宋_GB2312"/>
                <w:color w:val="000000"/>
                <w:kern w:val="0"/>
                <w:sz w:val="24"/>
                <w:szCs w:val="24"/>
              </w:rPr>
              <w:t>强化基金监管。</w:t>
            </w:r>
          </w:p>
        </w:tc>
        <w:tc>
          <w:tcPr>
            <w:tcW w:w="3472" w:type="dxa"/>
            <w:vMerge w:val="continue"/>
            <w:tcBorders>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center"/>
              <w:rPr>
                <w:rFonts w:ascii="仿宋_GB2312" w:hAnsi="宋体" w:eastAsia="仿宋_GB2312"/>
                <w:bCs/>
                <w:sz w:val="24"/>
                <w:szCs w:val="24"/>
              </w:rPr>
            </w:pPr>
          </w:p>
        </w:tc>
        <w:tc>
          <w:tcPr>
            <w:tcW w:w="3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宋体" w:eastAsia="仿宋_GB2312"/>
                <w:bCs/>
                <w:color w:val="000000"/>
                <w:sz w:val="24"/>
                <w:szCs w:val="24"/>
              </w:rPr>
            </w:pPr>
            <w:r>
              <w:rPr>
                <w:rFonts w:hint="eastAsia" w:ascii="仿宋_GB2312" w:hAnsi="仿宋" w:eastAsia="仿宋_GB2312"/>
                <w:bCs/>
                <w:sz w:val="24"/>
                <w:szCs w:val="24"/>
              </w:rPr>
              <w:t>结合</w:t>
            </w:r>
            <w:r>
              <w:rPr>
                <w:rFonts w:hint="eastAsia" w:ascii="仿宋_GB2312" w:hAnsi="仿宋_GB2312" w:eastAsia="仿宋_GB2312"/>
                <w:bCs/>
                <w:sz w:val="24"/>
                <w:szCs w:val="24"/>
              </w:rPr>
              <w:t>社会保障政策</w:t>
            </w:r>
            <w:r>
              <w:rPr>
                <w:rFonts w:hint="eastAsia" w:ascii="仿宋_GB2312" w:hAnsi="仿宋" w:eastAsia="仿宋_GB2312"/>
                <w:sz w:val="24"/>
                <w:szCs w:val="24"/>
              </w:rPr>
              <w:t>工作重点问题，</w:t>
            </w:r>
            <w:r>
              <w:rPr>
                <w:rFonts w:hint="eastAsia" w:ascii="仿宋_GB2312" w:eastAsia="仿宋_GB2312"/>
                <w:sz w:val="24"/>
                <w:szCs w:val="24"/>
              </w:rPr>
              <w:t>做好保障服务等基础性工作。</w:t>
            </w:r>
          </w:p>
        </w:tc>
        <w:tc>
          <w:tcPr>
            <w:tcW w:w="72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长期</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9</w:t>
            </w:r>
          </w:p>
        </w:tc>
        <w:tc>
          <w:tcPr>
            <w:tcW w:w="15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政府采购监管服务</w:t>
            </w:r>
          </w:p>
        </w:tc>
        <w:tc>
          <w:tcPr>
            <w:tcW w:w="28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color w:val="974706"/>
                <w:sz w:val="24"/>
                <w:szCs w:val="24"/>
              </w:rPr>
            </w:pPr>
            <w:r>
              <w:rPr>
                <w:rFonts w:hint="eastAsia" w:ascii="仿宋_GB2312" w:hAnsi="仿宋_GB2312" w:eastAsia="仿宋_GB2312" w:cs="仿宋_GB2312"/>
                <w:bCs/>
                <w:kern w:val="0"/>
                <w:sz w:val="24"/>
                <w:szCs w:val="24"/>
                <w:lang w:val="zh-CN"/>
              </w:rPr>
              <w:t>政府采购目录及限额标准服务事项</w:t>
            </w:r>
          </w:p>
        </w:tc>
        <w:tc>
          <w:tcPr>
            <w:tcW w:w="389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color w:val="974706"/>
                <w:sz w:val="24"/>
                <w:szCs w:val="24"/>
              </w:rPr>
            </w:pPr>
            <w:r>
              <w:rPr>
                <w:rFonts w:hint="eastAsia" w:ascii="仿宋_GB2312" w:hAnsi="仿宋_GB2312" w:eastAsia="仿宋_GB2312" w:cs="仿宋_GB2312"/>
                <w:bCs/>
                <w:kern w:val="0"/>
                <w:sz w:val="24"/>
                <w:szCs w:val="24"/>
                <w:lang w:val="zh-CN"/>
              </w:rPr>
              <w:t>收集、梳理相关数据，为年度采购目录的编制和政府采购限额标准及公开招标数额标准的制定提供参考和支撑。</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kern w:val="0"/>
                <w:sz w:val="24"/>
                <w:szCs w:val="24"/>
              </w:rPr>
            </w:pPr>
          </w:p>
        </w:tc>
        <w:tc>
          <w:tcPr>
            <w:tcW w:w="34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数据客观、准确、全面。</w:t>
            </w:r>
          </w:p>
        </w:tc>
        <w:tc>
          <w:tcPr>
            <w:tcW w:w="347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责任科室：政府采购科</w:t>
            </w:r>
          </w:p>
          <w:p>
            <w:pPr>
              <w:adjustRightInd w:val="0"/>
              <w:snapToGri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地址：新城民生路616号市财政局办公楼919房间</w:t>
            </w:r>
          </w:p>
          <w:p>
            <w:pPr>
              <w:adjustRightInd w:val="0"/>
              <w:snapToGri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联系方式：3180268</w:t>
            </w:r>
          </w:p>
          <w:p>
            <w:pPr>
              <w:adjustRightInd w:val="0"/>
              <w:snapToGrid w:val="0"/>
              <w:spacing w:line="540" w:lineRule="exact"/>
              <w:rPr>
                <w:rFonts w:ascii="仿宋_GB2312" w:hAnsi="仿宋_GB2312" w:eastAsia="仿宋_GB2312" w:cs="仿宋_GB2312"/>
                <w:bCs/>
                <w:color w:val="000000"/>
                <w:sz w:val="24"/>
                <w:szCs w:val="24"/>
              </w:rPr>
            </w:pPr>
          </w:p>
        </w:tc>
        <w:tc>
          <w:tcPr>
            <w:tcW w:w="3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zh-CN"/>
              </w:rPr>
              <w:t>任务确认；</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zh-CN"/>
              </w:rPr>
              <w:t>梳理数据；</w:t>
            </w:r>
            <w:r>
              <w:rPr>
                <w:rFonts w:hint="eastAsia"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lang w:val="zh-CN"/>
              </w:rPr>
              <w:t>提出意见建议。</w:t>
            </w:r>
          </w:p>
        </w:tc>
        <w:tc>
          <w:tcPr>
            <w:tcW w:w="72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长期</w:t>
            </w: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p>
        </w:tc>
        <w:tc>
          <w:tcPr>
            <w:tcW w:w="15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p>
        </w:tc>
        <w:tc>
          <w:tcPr>
            <w:tcW w:w="289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kern w:val="0"/>
                <w:sz w:val="24"/>
                <w:szCs w:val="24"/>
                <w:lang w:val="zh-CN"/>
              </w:rPr>
              <w:t>政府采购专家征集事项</w:t>
            </w:r>
          </w:p>
        </w:tc>
        <w:tc>
          <w:tcPr>
            <w:tcW w:w="389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kern w:val="0"/>
                <w:sz w:val="24"/>
                <w:szCs w:val="24"/>
                <w:lang w:val="zh-CN"/>
              </w:rPr>
              <w:t>政府采购专家征集信息的数据统计和转报工作。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rPr>
                <w:rFonts w:ascii="仿宋_GB2312" w:hAnsi="仿宋_GB2312" w:eastAsia="仿宋_GB2312" w:cs="仿宋_GB2312"/>
                <w:bCs/>
                <w:color w:val="000000"/>
                <w:sz w:val="24"/>
                <w:szCs w:val="24"/>
              </w:rPr>
            </w:pPr>
          </w:p>
        </w:tc>
        <w:tc>
          <w:tcPr>
            <w:tcW w:w="34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kern w:val="0"/>
                <w:sz w:val="24"/>
                <w:szCs w:val="24"/>
                <w:lang w:val="zh-CN"/>
              </w:rPr>
              <w:t>数据统计和转报的及时、准确。</w:t>
            </w:r>
          </w:p>
        </w:tc>
        <w:tc>
          <w:tcPr>
            <w:tcW w:w="3472" w:type="dxa"/>
            <w:vMerge w:val="continue"/>
            <w:tcBorders>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rPr>
                <w:rFonts w:ascii="仿宋_GB2312" w:hAnsi="仿宋_GB2312" w:eastAsia="仿宋_GB2312" w:cs="仿宋_GB2312"/>
                <w:bCs/>
                <w:color w:val="000000"/>
                <w:sz w:val="24"/>
                <w:szCs w:val="24"/>
              </w:rPr>
            </w:pPr>
          </w:p>
        </w:tc>
        <w:tc>
          <w:tcPr>
            <w:tcW w:w="3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zh-CN"/>
              </w:rPr>
              <w:t>任务确认；</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zh-CN"/>
              </w:rPr>
              <w:t>汇总统计数据；</w:t>
            </w:r>
            <w:r>
              <w:rPr>
                <w:rFonts w:hint="eastAsia"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lang w:val="zh-CN"/>
              </w:rPr>
              <w:t>数据上报。</w:t>
            </w:r>
          </w:p>
        </w:tc>
        <w:tc>
          <w:tcPr>
            <w:tcW w:w="72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adjustRightInd w:val="0"/>
              <w:snapToGrid w:val="0"/>
              <w:spacing w:line="54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sz w:val="24"/>
                <w:szCs w:val="24"/>
              </w:rPr>
              <w:t>长期</w:t>
            </w:r>
          </w:p>
        </w:tc>
      </w:tr>
      <w:tr>
        <w:tblPrEx>
          <w:tblCellMar>
            <w:top w:w="0" w:type="dxa"/>
            <w:left w:w="0" w:type="dxa"/>
            <w:bottom w:w="0" w:type="dxa"/>
            <w:right w:w="0" w:type="dxa"/>
          </w:tblCellMar>
        </w:tblPrEx>
        <w:trPr>
          <w:trHeight w:val="709"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Arial" w:hAnsi="Arial" w:cs="Arial"/>
                <w:b/>
                <w:bCs/>
                <w:color w:val="000000"/>
                <w:kern w:val="0"/>
                <w:sz w:val="24"/>
                <w:szCs w:val="24"/>
              </w:rPr>
            </w:pPr>
            <w:r>
              <w:rPr>
                <w:rFonts w:hint="eastAsia" w:ascii="仿宋_GB2312" w:hAnsi="仿宋_GB2312" w:eastAsia="仿宋_GB2312" w:cs="仿宋_GB2312"/>
                <w:color w:val="000000"/>
                <w:kern w:val="0"/>
                <w:sz w:val="24"/>
                <w:szCs w:val="24"/>
              </w:rPr>
              <w:t>10</w:t>
            </w:r>
          </w:p>
        </w:tc>
        <w:tc>
          <w:tcPr>
            <w:tcW w:w="15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textAlignment w:val="center"/>
              <w:rPr>
                <w:rFonts w:ascii="Arial" w:hAnsi="Arial" w:cs="Arial"/>
                <w:b/>
                <w:bCs/>
                <w:color w:val="000000"/>
                <w:kern w:val="0"/>
                <w:sz w:val="24"/>
                <w:szCs w:val="24"/>
              </w:rPr>
            </w:pPr>
            <w:r>
              <w:rPr>
                <w:rFonts w:hint="eastAsia" w:ascii="仿宋_GB2312" w:hAnsi="仿宋_GB2312" w:eastAsia="仿宋_GB2312" w:cs="仿宋_GB2312"/>
                <w:color w:val="000000"/>
                <w:kern w:val="0"/>
                <w:sz w:val="24"/>
                <w:szCs w:val="24"/>
              </w:rPr>
              <w:t>会计信息质量评价服务</w:t>
            </w:r>
          </w:p>
        </w:tc>
        <w:tc>
          <w:tcPr>
            <w:tcW w:w="28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仿宋_GB2312" w:eastAsia="仿宋_GB2312" w:cs="仿宋_GB2312"/>
                <w:bCs/>
              </w:rPr>
            </w:pPr>
          </w:p>
        </w:tc>
        <w:tc>
          <w:tcPr>
            <w:tcW w:w="3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参与落实各类会计制度的实施、会计信息质量基础工作评价和注册会计师和资产行业执业质量基础评价，做好内部控制制度的基础工作。</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ind w:firstLine="199" w:firstLineChars="100"/>
              <w:jc w:val="left"/>
              <w:rPr>
                <w:rFonts w:ascii="仿宋_GB2312" w:hAnsi="仿宋_GB2312" w:eastAsia="仿宋_GB2312" w:cs="仿宋_GB2312"/>
                <w:bCs/>
              </w:rPr>
            </w:pPr>
          </w:p>
        </w:tc>
        <w:tc>
          <w:tcPr>
            <w:tcW w:w="34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 xml:space="preserve"> 数据评价客观真实，上报及时。</w:t>
            </w:r>
          </w:p>
        </w:tc>
        <w:tc>
          <w:tcPr>
            <w:tcW w:w="34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责任科室：会计信息质量评价科 </w:t>
            </w:r>
          </w:p>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地址：新城民生路616号市财政局办公楼813室</w:t>
            </w:r>
          </w:p>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联系方式：8687908</w:t>
            </w:r>
          </w:p>
        </w:tc>
        <w:tc>
          <w:tcPr>
            <w:tcW w:w="30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sz w:val="24"/>
                <w:szCs w:val="24"/>
              </w:rPr>
              <w:t>根据市财政局工作安排，及时收集整理基础数据并按要求上报。</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 xml:space="preserve"> 长期</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50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财政信息化建设</w:t>
            </w:r>
          </w:p>
        </w:tc>
        <w:tc>
          <w:tcPr>
            <w:tcW w:w="289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sz w:val="24"/>
                <w:szCs w:val="24"/>
              </w:rPr>
            </w:pPr>
          </w:p>
        </w:tc>
        <w:tc>
          <w:tcPr>
            <w:tcW w:w="38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围绕财政核心业务需求，配合局相关业务科室开展大数据分析应用平台建设，助力财政改革发展。</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ind w:firstLine="199" w:firstLineChars="100"/>
              <w:jc w:val="left"/>
              <w:rPr>
                <w:rFonts w:ascii="仿宋_GB2312" w:hAnsi="仿宋_GB2312" w:eastAsia="仿宋_GB2312" w:cs="仿宋_GB2312"/>
                <w:bCs/>
              </w:rPr>
            </w:pPr>
          </w:p>
        </w:tc>
        <w:tc>
          <w:tcPr>
            <w:tcW w:w="34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p>
        </w:tc>
        <w:tc>
          <w:tcPr>
            <w:tcW w:w="347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责任科室：财政信息中心</w:t>
            </w:r>
          </w:p>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 xml:space="preserve">地址：新城民生路616号市财政局办公楼926房间  </w:t>
            </w:r>
          </w:p>
          <w:p>
            <w:pPr>
              <w:adjustRightInd w:val="0"/>
              <w:snapToGrid w:val="0"/>
              <w:spacing w:line="540" w:lineRule="exact"/>
              <w:jc w:val="left"/>
              <w:rPr>
                <w:rFonts w:ascii="仿宋_GB2312" w:hAnsi="仿宋_GB2312" w:eastAsia="仿宋_GB2312" w:cs="仿宋_GB2312"/>
                <w:sz w:val="24"/>
                <w:szCs w:val="24"/>
              </w:rPr>
            </w:pPr>
            <w:r>
              <w:rPr>
                <w:rFonts w:hint="eastAsia" w:ascii="仿宋" w:hAnsi="仿宋" w:eastAsia="仿宋"/>
                <w:sz w:val="24"/>
                <w:szCs w:val="24"/>
              </w:rPr>
              <w:t>联系方式：3281366</w:t>
            </w:r>
          </w:p>
        </w:tc>
        <w:tc>
          <w:tcPr>
            <w:tcW w:w="3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kern w:val="0"/>
                <w:sz w:val="24"/>
                <w:szCs w:val="24"/>
              </w:rPr>
            </w:pPr>
          </w:p>
        </w:tc>
        <w:tc>
          <w:tcPr>
            <w:tcW w:w="150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仿宋_GB2312" w:eastAsia="仿宋_GB2312" w:cs="仿宋_GB2312"/>
                <w:kern w:val="0"/>
                <w:sz w:val="24"/>
                <w:szCs w:val="24"/>
              </w:rPr>
            </w:pPr>
          </w:p>
        </w:tc>
        <w:tc>
          <w:tcPr>
            <w:tcW w:w="289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sz w:val="24"/>
                <w:szCs w:val="24"/>
              </w:rPr>
            </w:pPr>
          </w:p>
        </w:tc>
        <w:tc>
          <w:tcPr>
            <w:tcW w:w="3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协助局相关业务科室开展经济活动分析。</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ind w:firstLine="199" w:firstLineChars="100"/>
              <w:jc w:val="left"/>
              <w:rPr>
                <w:rFonts w:ascii="仿宋_GB2312" w:hAnsi="仿宋_GB2312" w:eastAsia="仿宋_GB2312" w:cs="仿宋_GB2312"/>
                <w:bCs/>
              </w:rPr>
            </w:pPr>
          </w:p>
        </w:tc>
        <w:tc>
          <w:tcPr>
            <w:tcW w:w="34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p>
        </w:tc>
        <w:tc>
          <w:tcPr>
            <w:tcW w:w="3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p>
        </w:tc>
        <w:tc>
          <w:tcPr>
            <w:tcW w:w="30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r>
        <w:tblPrEx>
          <w:tblCellMar>
            <w:top w:w="0" w:type="dxa"/>
            <w:left w:w="0" w:type="dxa"/>
            <w:bottom w:w="0" w:type="dxa"/>
            <w:right w:w="0" w:type="dxa"/>
          </w:tblCellMar>
        </w:tblPrEx>
        <w:trPr>
          <w:trHeight w:val="709"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5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财源保障评价服务</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sz w:val="24"/>
                <w:szCs w:val="24"/>
              </w:rPr>
            </w:pP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开展财源建设政策措施调研和评价，收集梳理相关政策法规和数据，为加快财源建设服务。</w:t>
            </w:r>
          </w:p>
        </w:tc>
        <w:tc>
          <w:tcPr>
            <w:tcW w:w="1584"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40" w:lineRule="exact"/>
              <w:ind w:firstLine="199" w:firstLineChars="100"/>
              <w:jc w:val="left"/>
              <w:rPr>
                <w:rFonts w:ascii="仿宋_GB2312" w:hAnsi="仿宋_GB2312" w:eastAsia="仿宋_GB2312" w:cs="仿宋_GB2312"/>
                <w:bCs/>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开展调研深入广泛，数据客观真实，评价分析全面、透彻，操作性和可行性强。</w:t>
            </w:r>
          </w:p>
        </w:tc>
        <w:tc>
          <w:tcPr>
            <w:tcW w:w="3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责任科室：财源保障评价科</w:t>
            </w:r>
          </w:p>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 xml:space="preserve">地址：新城民生路616号市财政局办公楼916房间  </w:t>
            </w:r>
          </w:p>
          <w:p>
            <w:pPr>
              <w:adjustRightInd w:val="0"/>
              <w:snapToGrid w:val="0"/>
              <w:spacing w:line="540" w:lineRule="exact"/>
              <w:jc w:val="left"/>
              <w:rPr>
                <w:rFonts w:ascii="仿宋_GB2312" w:hAnsi="仿宋_GB2312" w:eastAsia="仿宋_GB2312" w:cs="仿宋_GB2312"/>
                <w:sz w:val="24"/>
                <w:szCs w:val="24"/>
              </w:rPr>
            </w:pPr>
            <w:r>
              <w:rPr>
                <w:rFonts w:hint="eastAsia" w:ascii="仿宋" w:hAnsi="仿宋" w:eastAsia="仿宋"/>
                <w:sz w:val="24"/>
                <w:szCs w:val="24"/>
              </w:rPr>
              <w:t>联系方式：3331639</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sz w:val="24"/>
                <w:szCs w:val="24"/>
              </w:rPr>
              <w:t>1、开展调研；2、收集整理信息；3、评价分析；4、提出建议意见。</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r>
        <w:tblPrEx>
          <w:tblCellMar>
            <w:top w:w="0" w:type="dxa"/>
            <w:left w:w="0" w:type="dxa"/>
            <w:bottom w:w="0" w:type="dxa"/>
            <w:right w:w="0" w:type="dxa"/>
          </w:tblCellMar>
        </w:tblPrEx>
        <w:trPr>
          <w:trHeight w:val="709"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15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财政政策服务</w:t>
            </w:r>
          </w:p>
        </w:tc>
        <w:tc>
          <w:tcPr>
            <w:tcW w:w="28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center"/>
              <w:textAlignment w:val="center"/>
              <w:rPr>
                <w:rFonts w:ascii="仿宋_GB2312" w:hAnsi="仿宋_GB2312" w:eastAsia="仿宋_GB2312" w:cs="仿宋_GB2312"/>
                <w:sz w:val="24"/>
                <w:szCs w:val="24"/>
              </w:rPr>
            </w:pPr>
          </w:p>
        </w:tc>
        <w:tc>
          <w:tcPr>
            <w:tcW w:w="38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围绕财政改革和发展热点、难点问题，及时广泛开展调研和政策措施论证评价分析。</w:t>
            </w:r>
          </w:p>
        </w:tc>
        <w:tc>
          <w:tcPr>
            <w:tcW w:w="158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ind w:firstLine="199" w:firstLineChars="100"/>
              <w:jc w:val="left"/>
              <w:rPr>
                <w:rFonts w:ascii="仿宋_GB2312" w:hAnsi="仿宋_GB2312" w:eastAsia="仿宋_GB2312" w:cs="仿宋_GB2312"/>
                <w:bCs/>
              </w:rPr>
            </w:pPr>
          </w:p>
        </w:tc>
        <w:tc>
          <w:tcPr>
            <w:tcW w:w="3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开展调研深入广泛，数据客观真实，评价分析全面、透彻，操作性和可行性强。</w:t>
            </w:r>
          </w:p>
        </w:tc>
        <w:tc>
          <w:tcPr>
            <w:tcW w:w="3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责任科室：政策服务科</w:t>
            </w:r>
          </w:p>
          <w:p>
            <w:pPr>
              <w:adjustRightInd w:val="0"/>
              <w:snapToGrid w:val="0"/>
              <w:spacing w:line="540" w:lineRule="exact"/>
              <w:jc w:val="left"/>
              <w:rPr>
                <w:rFonts w:ascii="仿宋" w:hAnsi="仿宋" w:eastAsia="仿宋"/>
                <w:sz w:val="24"/>
                <w:szCs w:val="24"/>
              </w:rPr>
            </w:pPr>
            <w:r>
              <w:rPr>
                <w:rFonts w:hint="eastAsia" w:ascii="仿宋" w:hAnsi="仿宋" w:eastAsia="仿宋"/>
                <w:sz w:val="24"/>
                <w:szCs w:val="24"/>
              </w:rPr>
              <w:t xml:space="preserve">地址：新城民生路616号市财政局办公楼705房间  </w:t>
            </w:r>
          </w:p>
          <w:p>
            <w:pPr>
              <w:adjustRightInd w:val="0"/>
              <w:snapToGrid w:val="0"/>
              <w:spacing w:line="540" w:lineRule="exact"/>
              <w:jc w:val="left"/>
              <w:rPr>
                <w:rFonts w:ascii="仿宋_GB2312" w:hAnsi="仿宋_GB2312" w:eastAsia="仿宋_GB2312" w:cs="仿宋_GB2312"/>
                <w:sz w:val="24"/>
                <w:szCs w:val="24"/>
              </w:rPr>
            </w:pPr>
            <w:r>
              <w:rPr>
                <w:rFonts w:hint="eastAsia" w:ascii="仿宋" w:hAnsi="仿宋" w:eastAsia="仿宋"/>
                <w:sz w:val="24"/>
                <w:szCs w:val="24"/>
              </w:rPr>
              <w:t xml:space="preserve">联系方式：3314369   </w:t>
            </w:r>
          </w:p>
        </w:tc>
        <w:tc>
          <w:tcPr>
            <w:tcW w:w="3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sz w:val="24"/>
                <w:szCs w:val="24"/>
              </w:rPr>
              <w:t>1、开展调研；2、收集整理信息；3、政策论证和评价分析；4、提出建议意见。</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40" w:lineRule="exact"/>
              <w:jc w:val="left"/>
              <w:rPr>
                <w:rFonts w:ascii="仿宋_GB2312" w:hAnsi="仿宋_GB2312" w:eastAsia="仿宋_GB2312" w:cs="仿宋_GB2312"/>
                <w:bCs/>
              </w:rPr>
            </w:pPr>
            <w:r>
              <w:rPr>
                <w:rFonts w:hint="eastAsia" w:ascii="仿宋_GB2312" w:hAnsi="仿宋_GB2312" w:eastAsia="仿宋_GB2312" w:cs="仿宋_GB2312"/>
                <w:bCs/>
              </w:rPr>
              <w:t>长期</w:t>
            </w:r>
          </w:p>
        </w:tc>
      </w:tr>
    </w:tbl>
    <w:p>
      <w:pPr>
        <w:pStyle w:val="2"/>
        <w:rPr>
          <w:rFonts w:cs="Times New Roman"/>
          <w:sz w:val="30"/>
          <w:szCs w:val="30"/>
        </w:rPr>
      </w:pPr>
    </w:p>
    <w:sectPr>
      <w:footerReference r:id="rId3" w:type="default"/>
      <w:pgSz w:w="23814" w:h="16840" w:orient="landscape"/>
      <w:pgMar w:top="1588" w:right="1588" w:bottom="1588" w:left="1531" w:header="851" w:footer="1871" w:gutter="0"/>
      <w:cols w:space="708" w:num="1"/>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eastAsia="黑体" w:cs="Times New Roman"/>
        <w:sz w:val="28"/>
        <w:szCs w:val="28"/>
      </w:rPr>
    </w:pPr>
    <w:r>
      <w:rPr>
        <w:rStyle w:val="14"/>
        <w:rFonts w:ascii="Times New Roman" w:hAnsi="Times New Roman" w:eastAsia="黑体" w:cs="Times New Roman"/>
        <w:sz w:val="28"/>
        <w:szCs w:val="28"/>
      </w:rPr>
      <w:t xml:space="preserve">— </w:t>
    </w:r>
    <w:r>
      <w:rPr>
        <w:rStyle w:val="14"/>
        <w:rFonts w:ascii="Times New Roman" w:hAnsi="Times New Roman" w:eastAsia="黑体" w:cs="Times New Roman"/>
        <w:sz w:val="28"/>
        <w:szCs w:val="28"/>
      </w:rPr>
      <w:fldChar w:fldCharType="begin"/>
    </w:r>
    <w:r>
      <w:rPr>
        <w:rStyle w:val="14"/>
        <w:rFonts w:ascii="Times New Roman" w:hAnsi="Times New Roman" w:eastAsia="黑体" w:cs="Times New Roman"/>
        <w:sz w:val="28"/>
        <w:szCs w:val="28"/>
      </w:rPr>
      <w:instrText xml:space="preserve">PAGE  </w:instrText>
    </w:r>
    <w:r>
      <w:rPr>
        <w:rStyle w:val="14"/>
        <w:rFonts w:ascii="Times New Roman" w:hAnsi="Times New Roman" w:eastAsia="黑体" w:cs="Times New Roman"/>
        <w:sz w:val="28"/>
        <w:szCs w:val="28"/>
      </w:rPr>
      <w:fldChar w:fldCharType="separate"/>
    </w:r>
    <w:r>
      <w:rPr>
        <w:rStyle w:val="14"/>
        <w:rFonts w:ascii="Times New Roman" w:hAnsi="Times New Roman" w:eastAsia="黑体" w:cs="Times New Roman"/>
        <w:sz w:val="28"/>
        <w:szCs w:val="28"/>
      </w:rPr>
      <w:t>8</w:t>
    </w:r>
    <w:r>
      <w:rPr>
        <w:rStyle w:val="14"/>
        <w:rFonts w:ascii="Times New Roman" w:hAnsi="Times New Roman" w:eastAsia="黑体" w:cs="Times New Roman"/>
        <w:sz w:val="28"/>
        <w:szCs w:val="28"/>
      </w:rPr>
      <w:fldChar w:fldCharType="end"/>
    </w:r>
    <w:r>
      <w:rPr>
        <w:rStyle w:val="14"/>
        <w:rFonts w:ascii="Times New Roman" w:hAnsi="Times New Roman" w:eastAsia="黑体" w:cs="Times New Roman"/>
        <w:sz w:val="28"/>
        <w:szCs w:val="28"/>
      </w:rPr>
      <w:t xml:space="preserve"> —</w:t>
    </w:r>
  </w:p>
  <w:p>
    <w:pPr>
      <w:pStyle w:val="7"/>
      <w:ind w:right="360" w:firstLine="360"/>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720"/>
  <w:doNotHyphenateCaps/>
  <w:drawingGridHorizontalSpacing w:val="99"/>
  <w:drawingGridVerticalSpacing w:val="289"/>
  <w:displayHorizontalDrawingGridEvery w:val="2"/>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025"/>
    <w:rsid w:val="00033EFD"/>
    <w:rsid w:val="00052996"/>
    <w:rsid w:val="000578C0"/>
    <w:rsid w:val="0007106E"/>
    <w:rsid w:val="00077882"/>
    <w:rsid w:val="00095C2F"/>
    <w:rsid w:val="000A569D"/>
    <w:rsid w:val="000B0EF6"/>
    <w:rsid w:val="000D3EFC"/>
    <w:rsid w:val="000E78D3"/>
    <w:rsid w:val="000F64F6"/>
    <w:rsid w:val="00120992"/>
    <w:rsid w:val="00121B1D"/>
    <w:rsid w:val="00165355"/>
    <w:rsid w:val="00183391"/>
    <w:rsid w:val="00190312"/>
    <w:rsid w:val="001A216A"/>
    <w:rsid w:val="001B56F2"/>
    <w:rsid w:val="00207E61"/>
    <w:rsid w:val="00240648"/>
    <w:rsid w:val="002414BE"/>
    <w:rsid w:val="0026572A"/>
    <w:rsid w:val="00293BC4"/>
    <w:rsid w:val="002C5447"/>
    <w:rsid w:val="002D7249"/>
    <w:rsid w:val="002E7985"/>
    <w:rsid w:val="002F2199"/>
    <w:rsid w:val="00317E27"/>
    <w:rsid w:val="00323B43"/>
    <w:rsid w:val="00335272"/>
    <w:rsid w:val="003D37D8"/>
    <w:rsid w:val="003D6400"/>
    <w:rsid w:val="003E4D30"/>
    <w:rsid w:val="003E51BC"/>
    <w:rsid w:val="003E73BE"/>
    <w:rsid w:val="003F0C61"/>
    <w:rsid w:val="003F130F"/>
    <w:rsid w:val="00426A47"/>
    <w:rsid w:val="004342D5"/>
    <w:rsid w:val="004358AB"/>
    <w:rsid w:val="004633CF"/>
    <w:rsid w:val="00464BA4"/>
    <w:rsid w:val="00482D8E"/>
    <w:rsid w:val="00491D11"/>
    <w:rsid w:val="004C0FDF"/>
    <w:rsid w:val="004D037E"/>
    <w:rsid w:val="0050528A"/>
    <w:rsid w:val="00557235"/>
    <w:rsid w:val="005619CE"/>
    <w:rsid w:val="00574F4D"/>
    <w:rsid w:val="005A399D"/>
    <w:rsid w:val="005F31BB"/>
    <w:rsid w:val="005F37B2"/>
    <w:rsid w:val="00612A3E"/>
    <w:rsid w:val="0064503D"/>
    <w:rsid w:val="006736BA"/>
    <w:rsid w:val="00695749"/>
    <w:rsid w:val="006B37BF"/>
    <w:rsid w:val="006C4EDB"/>
    <w:rsid w:val="006D10F3"/>
    <w:rsid w:val="006E2BD1"/>
    <w:rsid w:val="006E451D"/>
    <w:rsid w:val="006F14AF"/>
    <w:rsid w:val="007235C5"/>
    <w:rsid w:val="0072535C"/>
    <w:rsid w:val="007260A4"/>
    <w:rsid w:val="00727723"/>
    <w:rsid w:val="00736675"/>
    <w:rsid w:val="00747EAD"/>
    <w:rsid w:val="00756B97"/>
    <w:rsid w:val="007C6C0D"/>
    <w:rsid w:val="007E2A8E"/>
    <w:rsid w:val="00834A01"/>
    <w:rsid w:val="00862697"/>
    <w:rsid w:val="00894762"/>
    <w:rsid w:val="008B7726"/>
    <w:rsid w:val="008C54AC"/>
    <w:rsid w:val="00934C40"/>
    <w:rsid w:val="00955324"/>
    <w:rsid w:val="00970F96"/>
    <w:rsid w:val="00977792"/>
    <w:rsid w:val="0098437B"/>
    <w:rsid w:val="009B2A45"/>
    <w:rsid w:val="009C60B7"/>
    <w:rsid w:val="009C7830"/>
    <w:rsid w:val="00A2748E"/>
    <w:rsid w:val="00A51B9A"/>
    <w:rsid w:val="00A7661C"/>
    <w:rsid w:val="00A96E7F"/>
    <w:rsid w:val="00B222DC"/>
    <w:rsid w:val="00B51275"/>
    <w:rsid w:val="00B70F34"/>
    <w:rsid w:val="00B7754C"/>
    <w:rsid w:val="00BB083A"/>
    <w:rsid w:val="00BB117D"/>
    <w:rsid w:val="00BC06A0"/>
    <w:rsid w:val="00BD2034"/>
    <w:rsid w:val="00BE0DAD"/>
    <w:rsid w:val="00BF1028"/>
    <w:rsid w:val="00C07EB2"/>
    <w:rsid w:val="00C44F30"/>
    <w:rsid w:val="00C62994"/>
    <w:rsid w:val="00C67886"/>
    <w:rsid w:val="00C8058C"/>
    <w:rsid w:val="00C94025"/>
    <w:rsid w:val="00C94943"/>
    <w:rsid w:val="00CA2511"/>
    <w:rsid w:val="00CA28E9"/>
    <w:rsid w:val="00CA661F"/>
    <w:rsid w:val="00D258E1"/>
    <w:rsid w:val="00D443EA"/>
    <w:rsid w:val="00D52597"/>
    <w:rsid w:val="00D54A1A"/>
    <w:rsid w:val="00D5558C"/>
    <w:rsid w:val="00D57292"/>
    <w:rsid w:val="00D7334D"/>
    <w:rsid w:val="00D75921"/>
    <w:rsid w:val="00DB34FE"/>
    <w:rsid w:val="00DC5339"/>
    <w:rsid w:val="00E1407A"/>
    <w:rsid w:val="00E371EB"/>
    <w:rsid w:val="00E3721F"/>
    <w:rsid w:val="00E544DD"/>
    <w:rsid w:val="00E806F3"/>
    <w:rsid w:val="00E93714"/>
    <w:rsid w:val="00EE0D1C"/>
    <w:rsid w:val="00F147FE"/>
    <w:rsid w:val="00F94053"/>
    <w:rsid w:val="00FB358B"/>
    <w:rsid w:val="00FC1951"/>
    <w:rsid w:val="01070358"/>
    <w:rsid w:val="01302876"/>
    <w:rsid w:val="013A317D"/>
    <w:rsid w:val="01667875"/>
    <w:rsid w:val="01746778"/>
    <w:rsid w:val="01CA305C"/>
    <w:rsid w:val="02463D89"/>
    <w:rsid w:val="02B17553"/>
    <w:rsid w:val="02B57EF8"/>
    <w:rsid w:val="02C27B21"/>
    <w:rsid w:val="032045B0"/>
    <w:rsid w:val="032C339A"/>
    <w:rsid w:val="03370CB3"/>
    <w:rsid w:val="035E06C6"/>
    <w:rsid w:val="03867125"/>
    <w:rsid w:val="03D84073"/>
    <w:rsid w:val="053A67F5"/>
    <w:rsid w:val="054110AE"/>
    <w:rsid w:val="055350C9"/>
    <w:rsid w:val="05BE4980"/>
    <w:rsid w:val="05DF148D"/>
    <w:rsid w:val="05E60DD2"/>
    <w:rsid w:val="05EE2E7E"/>
    <w:rsid w:val="069B5B70"/>
    <w:rsid w:val="06A80121"/>
    <w:rsid w:val="06ED21BE"/>
    <w:rsid w:val="06FC12EB"/>
    <w:rsid w:val="07436164"/>
    <w:rsid w:val="077D2120"/>
    <w:rsid w:val="07E03F68"/>
    <w:rsid w:val="086C4D63"/>
    <w:rsid w:val="088A16D1"/>
    <w:rsid w:val="08E9655A"/>
    <w:rsid w:val="09534F87"/>
    <w:rsid w:val="09807B5A"/>
    <w:rsid w:val="098D27E1"/>
    <w:rsid w:val="09B2745D"/>
    <w:rsid w:val="09D97072"/>
    <w:rsid w:val="09EC4E50"/>
    <w:rsid w:val="09F35D52"/>
    <w:rsid w:val="0A2C34D0"/>
    <w:rsid w:val="0A3378A5"/>
    <w:rsid w:val="0A48728C"/>
    <w:rsid w:val="0A516B41"/>
    <w:rsid w:val="0A5F6296"/>
    <w:rsid w:val="0A6A5CC2"/>
    <w:rsid w:val="0A8E6BFF"/>
    <w:rsid w:val="0AEA25DE"/>
    <w:rsid w:val="0B01445B"/>
    <w:rsid w:val="0B11325E"/>
    <w:rsid w:val="0B28665E"/>
    <w:rsid w:val="0B941273"/>
    <w:rsid w:val="0B9A58DE"/>
    <w:rsid w:val="0BC377E7"/>
    <w:rsid w:val="0BC450BA"/>
    <w:rsid w:val="0BC72099"/>
    <w:rsid w:val="0BF17505"/>
    <w:rsid w:val="0C6A79A0"/>
    <w:rsid w:val="0CB705CB"/>
    <w:rsid w:val="0CE30A75"/>
    <w:rsid w:val="0D4C19ED"/>
    <w:rsid w:val="0D7E5B1E"/>
    <w:rsid w:val="0DBB67D5"/>
    <w:rsid w:val="0DD20060"/>
    <w:rsid w:val="0DD63D6E"/>
    <w:rsid w:val="0E0E7C9E"/>
    <w:rsid w:val="0E1E5061"/>
    <w:rsid w:val="0E666491"/>
    <w:rsid w:val="0E704945"/>
    <w:rsid w:val="0EED52A2"/>
    <w:rsid w:val="0EED7DE1"/>
    <w:rsid w:val="0F1905CC"/>
    <w:rsid w:val="0F1C3C89"/>
    <w:rsid w:val="0F2A4C6F"/>
    <w:rsid w:val="0FB86B40"/>
    <w:rsid w:val="101722B8"/>
    <w:rsid w:val="10425A70"/>
    <w:rsid w:val="10A229C3"/>
    <w:rsid w:val="10A32C39"/>
    <w:rsid w:val="10F81485"/>
    <w:rsid w:val="112467C8"/>
    <w:rsid w:val="12203799"/>
    <w:rsid w:val="12364F24"/>
    <w:rsid w:val="126C4498"/>
    <w:rsid w:val="12720248"/>
    <w:rsid w:val="128D5776"/>
    <w:rsid w:val="129B194B"/>
    <w:rsid w:val="12DE52FA"/>
    <w:rsid w:val="12E37503"/>
    <w:rsid w:val="13176C0A"/>
    <w:rsid w:val="1334553A"/>
    <w:rsid w:val="135B5C15"/>
    <w:rsid w:val="135D7302"/>
    <w:rsid w:val="142965C4"/>
    <w:rsid w:val="144079DD"/>
    <w:rsid w:val="144558DB"/>
    <w:rsid w:val="1478432A"/>
    <w:rsid w:val="148F2B11"/>
    <w:rsid w:val="14967AE3"/>
    <w:rsid w:val="14A31C0D"/>
    <w:rsid w:val="14B47A70"/>
    <w:rsid w:val="14C1635B"/>
    <w:rsid w:val="14C40C23"/>
    <w:rsid w:val="14C97BDD"/>
    <w:rsid w:val="15157527"/>
    <w:rsid w:val="152E1511"/>
    <w:rsid w:val="157575B4"/>
    <w:rsid w:val="158F1855"/>
    <w:rsid w:val="15A11137"/>
    <w:rsid w:val="15B572B1"/>
    <w:rsid w:val="15B62AFE"/>
    <w:rsid w:val="15D66719"/>
    <w:rsid w:val="161D54BA"/>
    <w:rsid w:val="16444246"/>
    <w:rsid w:val="16892333"/>
    <w:rsid w:val="174E000A"/>
    <w:rsid w:val="176D36D1"/>
    <w:rsid w:val="17811661"/>
    <w:rsid w:val="178A2952"/>
    <w:rsid w:val="179E3C31"/>
    <w:rsid w:val="17F1540B"/>
    <w:rsid w:val="180E273C"/>
    <w:rsid w:val="18493AFD"/>
    <w:rsid w:val="1878048F"/>
    <w:rsid w:val="18AC0AC6"/>
    <w:rsid w:val="18B627CE"/>
    <w:rsid w:val="18DE1E31"/>
    <w:rsid w:val="19032070"/>
    <w:rsid w:val="194233D7"/>
    <w:rsid w:val="19581373"/>
    <w:rsid w:val="19A40BA3"/>
    <w:rsid w:val="19B64D40"/>
    <w:rsid w:val="19D2111E"/>
    <w:rsid w:val="19E10DCF"/>
    <w:rsid w:val="19EA6298"/>
    <w:rsid w:val="1A063A5B"/>
    <w:rsid w:val="1A54611B"/>
    <w:rsid w:val="1A8F0F98"/>
    <w:rsid w:val="1B134D8C"/>
    <w:rsid w:val="1B1354BE"/>
    <w:rsid w:val="1B282824"/>
    <w:rsid w:val="1B345494"/>
    <w:rsid w:val="1B62224C"/>
    <w:rsid w:val="1B777C38"/>
    <w:rsid w:val="1B886CD7"/>
    <w:rsid w:val="1BA4332B"/>
    <w:rsid w:val="1BA97B74"/>
    <w:rsid w:val="1BAD5791"/>
    <w:rsid w:val="1BE81851"/>
    <w:rsid w:val="1C10235A"/>
    <w:rsid w:val="1C2F4DA6"/>
    <w:rsid w:val="1C8022EC"/>
    <w:rsid w:val="1C874348"/>
    <w:rsid w:val="1CAF158D"/>
    <w:rsid w:val="1CCC06C7"/>
    <w:rsid w:val="1CD53ED7"/>
    <w:rsid w:val="1D7011E0"/>
    <w:rsid w:val="1DF86CA2"/>
    <w:rsid w:val="1DFA1FF6"/>
    <w:rsid w:val="1E2D7D73"/>
    <w:rsid w:val="1E302EAF"/>
    <w:rsid w:val="1E3770E0"/>
    <w:rsid w:val="1E443400"/>
    <w:rsid w:val="1E4C784E"/>
    <w:rsid w:val="1FBA7212"/>
    <w:rsid w:val="1FC4764F"/>
    <w:rsid w:val="201F086A"/>
    <w:rsid w:val="203C11E3"/>
    <w:rsid w:val="20565780"/>
    <w:rsid w:val="20655A25"/>
    <w:rsid w:val="20D72382"/>
    <w:rsid w:val="20FC6CF5"/>
    <w:rsid w:val="213D592A"/>
    <w:rsid w:val="21417604"/>
    <w:rsid w:val="21561384"/>
    <w:rsid w:val="215E2991"/>
    <w:rsid w:val="218627BC"/>
    <w:rsid w:val="21DA40D9"/>
    <w:rsid w:val="21E8517D"/>
    <w:rsid w:val="21F66C6E"/>
    <w:rsid w:val="220C2D75"/>
    <w:rsid w:val="22144BDF"/>
    <w:rsid w:val="2226659A"/>
    <w:rsid w:val="226F731D"/>
    <w:rsid w:val="228F4756"/>
    <w:rsid w:val="229A44DF"/>
    <w:rsid w:val="22B84AB4"/>
    <w:rsid w:val="22F25C4A"/>
    <w:rsid w:val="22F33A53"/>
    <w:rsid w:val="23451C82"/>
    <w:rsid w:val="23636232"/>
    <w:rsid w:val="23705167"/>
    <w:rsid w:val="23961ED3"/>
    <w:rsid w:val="23A5737D"/>
    <w:rsid w:val="23EF140E"/>
    <w:rsid w:val="24102FEB"/>
    <w:rsid w:val="241B207F"/>
    <w:rsid w:val="241C1055"/>
    <w:rsid w:val="24381B17"/>
    <w:rsid w:val="24482A0E"/>
    <w:rsid w:val="248515D7"/>
    <w:rsid w:val="248C18A0"/>
    <w:rsid w:val="249B4774"/>
    <w:rsid w:val="24A34139"/>
    <w:rsid w:val="25404DA4"/>
    <w:rsid w:val="25AD4720"/>
    <w:rsid w:val="263B6C49"/>
    <w:rsid w:val="26734EBB"/>
    <w:rsid w:val="26752317"/>
    <w:rsid w:val="26A90D5A"/>
    <w:rsid w:val="26AF128E"/>
    <w:rsid w:val="26C8738A"/>
    <w:rsid w:val="26D14201"/>
    <w:rsid w:val="2709731B"/>
    <w:rsid w:val="277F0B7B"/>
    <w:rsid w:val="278D0493"/>
    <w:rsid w:val="27963E05"/>
    <w:rsid w:val="279C5213"/>
    <w:rsid w:val="27C31845"/>
    <w:rsid w:val="27CB546A"/>
    <w:rsid w:val="27FF777B"/>
    <w:rsid w:val="28120DBE"/>
    <w:rsid w:val="284447C7"/>
    <w:rsid w:val="28582B78"/>
    <w:rsid w:val="285E7386"/>
    <w:rsid w:val="289B113F"/>
    <w:rsid w:val="28E00275"/>
    <w:rsid w:val="29AC2EBB"/>
    <w:rsid w:val="29AD2AC2"/>
    <w:rsid w:val="29D4397B"/>
    <w:rsid w:val="2A075FFB"/>
    <w:rsid w:val="2A8E6177"/>
    <w:rsid w:val="2AC52938"/>
    <w:rsid w:val="2ADD4B59"/>
    <w:rsid w:val="2B7E3D06"/>
    <w:rsid w:val="2B9074F8"/>
    <w:rsid w:val="2BB50189"/>
    <w:rsid w:val="2C056869"/>
    <w:rsid w:val="2C140111"/>
    <w:rsid w:val="2C5A205E"/>
    <w:rsid w:val="2C860ED8"/>
    <w:rsid w:val="2C90154A"/>
    <w:rsid w:val="2D8F4FC5"/>
    <w:rsid w:val="2D9829E8"/>
    <w:rsid w:val="2E4A4D96"/>
    <w:rsid w:val="2E4F2DEB"/>
    <w:rsid w:val="2E6B7DAC"/>
    <w:rsid w:val="2E744C1D"/>
    <w:rsid w:val="2EA97C21"/>
    <w:rsid w:val="2EF67B05"/>
    <w:rsid w:val="2FAB656F"/>
    <w:rsid w:val="2FB3107F"/>
    <w:rsid w:val="2FED544C"/>
    <w:rsid w:val="30136A88"/>
    <w:rsid w:val="307721FC"/>
    <w:rsid w:val="309719DC"/>
    <w:rsid w:val="313208EC"/>
    <w:rsid w:val="313513B0"/>
    <w:rsid w:val="317B0811"/>
    <w:rsid w:val="319475EC"/>
    <w:rsid w:val="319C1590"/>
    <w:rsid w:val="319C41A2"/>
    <w:rsid w:val="31F2282E"/>
    <w:rsid w:val="31F93752"/>
    <w:rsid w:val="320F5B81"/>
    <w:rsid w:val="325929B8"/>
    <w:rsid w:val="32886740"/>
    <w:rsid w:val="32B60E43"/>
    <w:rsid w:val="32D41940"/>
    <w:rsid w:val="32EF6C82"/>
    <w:rsid w:val="33213DAD"/>
    <w:rsid w:val="339C1E3A"/>
    <w:rsid w:val="33A23653"/>
    <w:rsid w:val="33A30F41"/>
    <w:rsid w:val="348D13FC"/>
    <w:rsid w:val="349F0D0A"/>
    <w:rsid w:val="34BB5020"/>
    <w:rsid w:val="34FC7E78"/>
    <w:rsid w:val="35102C0F"/>
    <w:rsid w:val="35106DAD"/>
    <w:rsid w:val="351B43D7"/>
    <w:rsid w:val="35407DFE"/>
    <w:rsid w:val="35905DB9"/>
    <w:rsid w:val="36B15B6D"/>
    <w:rsid w:val="36D9521D"/>
    <w:rsid w:val="37084A63"/>
    <w:rsid w:val="37090628"/>
    <w:rsid w:val="371B7889"/>
    <w:rsid w:val="3720283A"/>
    <w:rsid w:val="372847EA"/>
    <w:rsid w:val="37483DEB"/>
    <w:rsid w:val="376D162F"/>
    <w:rsid w:val="37C53BE3"/>
    <w:rsid w:val="37E506A0"/>
    <w:rsid w:val="3802361E"/>
    <w:rsid w:val="380E5A5A"/>
    <w:rsid w:val="3848482C"/>
    <w:rsid w:val="38574BBC"/>
    <w:rsid w:val="38673B75"/>
    <w:rsid w:val="387A62AF"/>
    <w:rsid w:val="38807FE7"/>
    <w:rsid w:val="38CA7C6B"/>
    <w:rsid w:val="38E954A7"/>
    <w:rsid w:val="39141085"/>
    <w:rsid w:val="39466F7F"/>
    <w:rsid w:val="3956554C"/>
    <w:rsid w:val="396E0B23"/>
    <w:rsid w:val="39FB17CF"/>
    <w:rsid w:val="3A5D7932"/>
    <w:rsid w:val="3A8B29FB"/>
    <w:rsid w:val="3A8F2E08"/>
    <w:rsid w:val="3AA544B3"/>
    <w:rsid w:val="3AFD33FD"/>
    <w:rsid w:val="3B2F1D1C"/>
    <w:rsid w:val="3B513BFB"/>
    <w:rsid w:val="3B5777AB"/>
    <w:rsid w:val="3B5F63C8"/>
    <w:rsid w:val="3BAB4C00"/>
    <w:rsid w:val="3BD13563"/>
    <w:rsid w:val="3BD24B7C"/>
    <w:rsid w:val="3C1E6636"/>
    <w:rsid w:val="3D5C3302"/>
    <w:rsid w:val="3D753DA8"/>
    <w:rsid w:val="3D796F50"/>
    <w:rsid w:val="3D8A7182"/>
    <w:rsid w:val="3DAE377B"/>
    <w:rsid w:val="3E201561"/>
    <w:rsid w:val="3E486CF1"/>
    <w:rsid w:val="3E57632E"/>
    <w:rsid w:val="3E992E58"/>
    <w:rsid w:val="3EC4423C"/>
    <w:rsid w:val="3EDF5D52"/>
    <w:rsid w:val="3F457D91"/>
    <w:rsid w:val="3F9C2CE8"/>
    <w:rsid w:val="3FD50A44"/>
    <w:rsid w:val="40F32793"/>
    <w:rsid w:val="40F5117D"/>
    <w:rsid w:val="418C71DD"/>
    <w:rsid w:val="419D52E4"/>
    <w:rsid w:val="41A40B5A"/>
    <w:rsid w:val="41A430C9"/>
    <w:rsid w:val="41B6162F"/>
    <w:rsid w:val="424D15A1"/>
    <w:rsid w:val="425B04A2"/>
    <w:rsid w:val="42AF508B"/>
    <w:rsid w:val="42B36C18"/>
    <w:rsid w:val="43674A9A"/>
    <w:rsid w:val="437C6FE7"/>
    <w:rsid w:val="43982015"/>
    <w:rsid w:val="43D854F7"/>
    <w:rsid w:val="43FA692E"/>
    <w:rsid w:val="44434100"/>
    <w:rsid w:val="448A4528"/>
    <w:rsid w:val="44FD5EBC"/>
    <w:rsid w:val="45697C9E"/>
    <w:rsid w:val="457728C1"/>
    <w:rsid w:val="4632166F"/>
    <w:rsid w:val="464A0304"/>
    <w:rsid w:val="465A6840"/>
    <w:rsid w:val="46872170"/>
    <w:rsid w:val="468F3BE6"/>
    <w:rsid w:val="46BC7ED3"/>
    <w:rsid w:val="46E83181"/>
    <w:rsid w:val="470742C0"/>
    <w:rsid w:val="47214373"/>
    <w:rsid w:val="472145A4"/>
    <w:rsid w:val="47375B24"/>
    <w:rsid w:val="473E0AA7"/>
    <w:rsid w:val="474F523A"/>
    <w:rsid w:val="47770297"/>
    <w:rsid w:val="47BE0D04"/>
    <w:rsid w:val="47C13AA2"/>
    <w:rsid w:val="47EE5E3E"/>
    <w:rsid w:val="47F93832"/>
    <w:rsid w:val="489A7FA9"/>
    <w:rsid w:val="48BD3932"/>
    <w:rsid w:val="49991F3C"/>
    <w:rsid w:val="49995A89"/>
    <w:rsid w:val="49B96454"/>
    <w:rsid w:val="49E64F01"/>
    <w:rsid w:val="4A085EBB"/>
    <w:rsid w:val="4A5079CA"/>
    <w:rsid w:val="4A542BEE"/>
    <w:rsid w:val="4A634531"/>
    <w:rsid w:val="4A827F4F"/>
    <w:rsid w:val="4A977487"/>
    <w:rsid w:val="4A9B6439"/>
    <w:rsid w:val="4AFC048C"/>
    <w:rsid w:val="4BEF6803"/>
    <w:rsid w:val="4C1423D6"/>
    <w:rsid w:val="4C7E40C0"/>
    <w:rsid w:val="4C966EFE"/>
    <w:rsid w:val="4CA4606D"/>
    <w:rsid w:val="4D2D60BC"/>
    <w:rsid w:val="4D311C68"/>
    <w:rsid w:val="4D312DAB"/>
    <w:rsid w:val="4D9D591D"/>
    <w:rsid w:val="4DBF5ED8"/>
    <w:rsid w:val="4DD747FD"/>
    <w:rsid w:val="4DFE3D11"/>
    <w:rsid w:val="4E4F4913"/>
    <w:rsid w:val="4E87507A"/>
    <w:rsid w:val="4EBD1E42"/>
    <w:rsid w:val="4EC9217B"/>
    <w:rsid w:val="4EFA710F"/>
    <w:rsid w:val="4F514CC3"/>
    <w:rsid w:val="4FCD5307"/>
    <w:rsid w:val="50041159"/>
    <w:rsid w:val="5023363A"/>
    <w:rsid w:val="50377475"/>
    <w:rsid w:val="503B2ABF"/>
    <w:rsid w:val="50C172EC"/>
    <w:rsid w:val="50CF53A2"/>
    <w:rsid w:val="50E13FA9"/>
    <w:rsid w:val="518E7423"/>
    <w:rsid w:val="519B0FA6"/>
    <w:rsid w:val="51CE5113"/>
    <w:rsid w:val="520978ED"/>
    <w:rsid w:val="520E43AE"/>
    <w:rsid w:val="52475ED8"/>
    <w:rsid w:val="52AF03F0"/>
    <w:rsid w:val="52D70F22"/>
    <w:rsid w:val="52E450B8"/>
    <w:rsid w:val="538F75D5"/>
    <w:rsid w:val="53912ED6"/>
    <w:rsid w:val="53E15F97"/>
    <w:rsid w:val="53F532A3"/>
    <w:rsid w:val="54157A1B"/>
    <w:rsid w:val="5451545E"/>
    <w:rsid w:val="54F06D14"/>
    <w:rsid w:val="55BB5AE1"/>
    <w:rsid w:val="55D677C6"/>
    <w:rsid w:val="55FD2914"/>
    <w:rsid w:val="56AC004F"/>
    <w:rsid w:val="56B6527B"/>
    <w:rsid w:val="56C948DA"/>
    <w:rsid w:val="56D31E22"/>
    <w:rsid w:val="56D6293D"/>
    <w:rsid w:val="56E2550E"/>
    <w:rsid w:val="56EE1F18"/>
    <w:rsid w:val="572008A1"/>
    <w:rsid w:val="57D97A42"/>
    <w:rsid w:val="58261BD4"/>
    <w:rsid w:val="58365BF4"/>
    <w:rsid w:val="584E66AC"/>
    <w:rsid w:val="585C5AA8"/>
    <w:rsid w:val="587964F7"/>
    <w:rsid w:val="5916125F"/>
    <w:rsid w:val="593E32CD"/>
    <w:rsid w:val="596171CD"/>
    <w:rsid w:val="59846B75"/>
    <w:rsid w:val="59CA3656"/>
    <w:rsid w:val="5A286BF3"/>
    <w:rsid w:val="5A502FAA"/>
    <w:rsid w:val="5A854871"/>
    <w:rsid w:val="5AA91DE1"/>
    <w:rsid w:val="5AD64325"/>
    <w:rsid w:val="5ADB181F"/>
    <w:rsid w:val="5AE106F9"/>
    <w:rsid w:val="5AFB6414"/>
    <w:rsid w:val="5B50675A"/>
    <w:rsid w:val="5B51672D"/>
    <w:rsid w:val="5BA31437"/>
    <w:rsid w:val="5BAF1F7A"/>
    <w:rsid w:val="5C5D191E"/>
    <w:rsid w:val="5C6C40BF"/>
    <w:rsid w:val="5C7B3F25"/>
    <w:rsid w:val="5CA01380"/>
    <w:rsid w:val="5CD36FBF"/>
    <w:rsid w:val="5CDC46DA"/>
    <w:rsid w:val="5D161EE8"/>
    <w:rsid w:val="5D66492E"/>
    <w:rsid w:val="5D675328"/>
    <w:rsid w:val="5D880C07"/>
    <w:rsid w:val="5DEA4803"/>
    <w:rsid w:val="5E1978F3"/>
    <w:rsid w:val="5E422FA2"/>
    <w:rsid w:val="5E4C61E3"/>
    <w:rsid w:val="5E530C71"/>
    <w:rsid w:val="5E782E71"/>
    <w:rsid w:val="5E8940D7"/>
    <w:rsid w:val="5EA170F5"/>
    <w:rsid w:val="5EA44B8D"/>
    <w:rsid w:val="5EAB67B1"/>
    <w:rsid w:val="5EC641A0"/>
    <w:rsid w:val="5F0739E8"/>
    <w:rsid w:val="5F2B3923"/>
    <w:rsid w:val="5F5B3C91"/>
    <w:rsid w:val="5F7C45BA"/>
    <w:rsid w:val="5FB85D21"/>
    <w:rsid w:val="60227146"/>
    <w:rsid w:val="60234ED6"/>
    <w:rsid w:val="60336056"/>
    <w:rsid w:val="60E55E16"/>
    <w:rsid w:val="60F907E3"/>
    <w:rsid w:val="61122948"/>
    <w:rsid w:val="613B3657"/>
    <w:rsid w:val="61CD0BBC"/>
    <w:rsid w:val="620F584E"/>
    <w:rsid w:val="62537EE9"/>
    <w:rsid w:val="6267416C"/>
    <w:rsid w:val="62A81460"/>
    <w:rsid w:val="62DF2420"/>
    <w:rsid w:val="63183633"/>
    <w:rsid w:val="63321260"/>
    <w:rsid w:val="636C6104"/>
    <w:rsid w:val="639A4F56"/>
    <w:rsid w:val="63BC0F7D"/>
    <w:rsid w:val="642778BD"/>
    <w:rsid w:val="643631A0"/>
    <w:rsid w:val="643A05EE"/>
    <w:rsid w:val="643B6FA3"/>
    <w:rsid w:val="643D696D"/>
    <w:rsid w:val="64A0108B"/>
    <w:rsid w:val="64AF00EE"/>
    <w:rsid w:val="6536087D"/>
    <w:rsid w:val="65C926FE"/>
    <w:rsid w:val="65FD126F"/>
    <w:rsid w:val="660C0E0F"/>
    <w:rsid w:val="66332D19"/>
    <w:rsid w:val="669515F1"/>
    <w:rsid w:val="66D47ACE"/>
    <w:rsid w:val="6735296D"/>
    <w:rsid w:val="675C5E11"/>
    <w:rsid w:val="68496296"/>
    <w:rsid w:val="68E21CB7"/>
    <w:rsid w:val="69577E96"/>
    <w:rsid w:val="69681511"/>
    <w:rsid w:val="697A593D"/>
    <w:rsid w:val="697B2E7E"/>
    <w:rsid w:val="69A06262"/>
    <w:rsid w:val="69CD7AD4"/>
    <w:rsid w:val="69FE6507"/>
    <w:rsid w:val="6A0B0AA3"/>
    <w:rsid w:val="6A894462"/>
    <w:rsid w:val="6AC07F77"/>
    <w:rsid w:val="6B037752"/>
    <w:rsid w:val="6B3F5729"/>
    <w:rsid w:val="6B5569EE"/>
    <w:rsid w:val="6B870B30"/>
    <w:rsid w:val="6B8C74AE"/>
    <w:rsid w:val="6BC80C72"/>
    <w:rsid w:val="6BE97BF6"/>
    <w:rsid w:val="6C283656"/>
    <w:rsid w:val="6CFA1D4B"/>
    <w:rsid w:val="6D2A368D"/>
    <w:rsid w:val="6D346D28"/>
    <w:rsid w:val="6D3D187A"/>
    <w:rsid w:val="6D9D3365"/>
    <w:rsid w:val="6DB5442C"/>
    <w:rsid w:val="6DF546A6"/>
    <w:rsid w:val="6DF97DE0"/>
    <w:rsid w:val="6E383087"/>
    <w:rsid w:val="6E3E36B7"/>
    <w:rsid w:val="6E69429D"/>
    <w:rsid w:val="6E8C3401"/>
    <w:rsid w:val="6EC333C3"/>
    <w:rsid w:val="6EE16CC8"/>
    <w:rsid w:val="6F171876"/>
    <w:rsid w:val="6F4679DB"/>
    <w:rsid w:val="6F482FF5"/>
    <w:rsid w:val="6F493EDE"/>
    <w:rsid w:val="6F5F6EF7"/>
    <w:rsid w:val="6F7A5A92"/>
    <w:rsid w:val="6F9C6E53"/>
    <w:rsid w:val="6FAF56E2"/>
    <w:rsid w:val="6FB628F4"/>
    <w:rsid w:val="6FD12E9B"/>
    <w:rsid w:val="6FE01347"/>
    <w:rsid w:val="7039700D"/>
    <w:rsid w:val="70491F84"/>
    <w:rsid w:val="70596C4A"/>
    <w:rsid w:val="707F7D1D"/>
    <w:rsid w:val="70E02288"/>
    <w:rsid w:val="7197792E"/>
    <w:rsid w:val="721E2FBB"/>
    <w:rsid w:val="723D7BD6"/>
    <w:rsid w:val="72A545BC"/>
    <w:rsid w:val="72C62D55"/>
    <w:rsid w:val="731F0CBA"/>
    <w:rsid w:val="736113CC"/>
    <w:rsid w:val="73D842CA"/>
    <w:rsid w:val="73ED44F2"/>
    <w:rsid w:val="741966A2"/>
    <w:rsid w:val="74F92CF0"/>
    <w:rsid w:val="752A71EB"/>
    <w:rsid w:val="755F7FB2"/>
    <w:rsid w:val="75632935"/>
    <w:rsid w:val="7584798A"/>
    <w:rsid w:val="75952E1A"/>
    <w:rsid w:val="75BB35D2"/>
    <w:rsid w:val="761C25A1"/>
    <w:rsid w:val="76350EB8"/>
    <w:rsid w:val="76D9729C"/>
    <w:rsid w:val="76E4406D"/>
    <w:rsid w:val="76E6225F"/>
    <w:rsid w:val="78225F55"/>
    <w:rsid w:val="78AE6840"/>
    <w:rsid w:val="78C13948"/>
    <w:rsid w:val="78D331ED"/>
    <w:rsid w:val="793F5170"/>
    <w:rsid w:val="794563F2"/>
    <w:rsid w:val="799242D4"/>
    <w:rsid w:val="79C90CE5"/>
    <w:rsid w:val="79DE3167"/>
    <w:rsid w:val="79EB390D"/>
    <w:rsid w:val="7A9B6285"/>
    <w:rsid w:val="7AF062E3"/>
    <w:rsid w:val="7BE7286C"/>
    <w:rsid w:val="7C1702E4"/>
    <w:rsid w:val="7C217E12"/>
    <w:rsid w:val="7C2A5A41"/>
    <w:rsid w:val="7C4C60A0"/>
    <w:rsid w:val="7CD5213E"/>
    <w:rsid w:val="7CEB273D"/>
    <w:rsid w:val="7D062C80"/>
    <w:rsid w:val="7D445708"/>
    <w:rsid w:val="7D925241"/>
    <w:rsid w:val="7DE66947"/>
    <w:rsid w:val="7E507B43"/>
    <w:rsid w:val="7E66472A"/>
    <w:rsid w:val="7E733D09"/>
    <w:rsid w:val="7E9E61E7"/>
    <w:rsid w:val="7EE528E8"/>
    <w:rsid w:val="7EF3508F"/>
    <w:rsid w:val="7EFA6408"/>
    <w:rsid w:val="7F3A0AA4"/>
    <w:rsid w:val="7F40169F"/>
    <w:rsid w:val="7F4225EB"/>
    <w:rsid w:val="7FB15C2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locked/>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locked/>
    <w:uiPriority w:val="99"/>
    <w:pPr>
      <w:adjustRightInd w:val="0"/>
      <w:snapToGrid w:val="0"/>
      <w:spacing w:line="580" w:lineRule="exact"/>
    </w:pPr>
    <w:rPr>
      <w:rFonts w:ascii="黑体" w:hAnsi="黑体" w:eastAsia="黑体" w:cs="黑体"/>
      <w:b/>
      <w:bCs/>
      <w:color w:val="000000"/>
      <w:sz w:val="32"/>
      <w:szCs w:val="32"/>
    </w:rPr>
  </w:style>
  <w:style w:type="paragraph" w:styleId="4">
    <w:name w:val="Document Map"/>
    <w:basedOn w:val="1"/>
    <w:link w:val="18"/>
    <w:semiHidden/>
    <w:qFormat/>
    <w:uiPriority w:val="99"/>
    <w:pPr>
      <w:shd w:val="clear" w:color="auto" w:fill="000080"/>
    </w:pPr>
    <w:rPr>
      <w:kern w:val="0"/>
      <w:sz w:val="2"/>
      <w:szCs w:val="2"/>
    </w:rPr>
  </w:style>
  <w:style w:type="paragraph" w:styleId="5">
    <w:name w:val="Body Text"/>
    <w:basedOn w:val="1"/>
    <w:link w:val="19"/>
    <w:qFormat/>
    <w:uiPriority w:val="99"/>
    <w:pPr>
      <w:spacing w:line="480" w:lineRule="auto"/>
      <w:jc w:val="center"/>
    </w:pPr>
    <w:rPr>
      <w:kern w:val="0"/>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widowControl/>
      <w:tabs>
        <w:tab w:val="center" w:pos="4153"/>
        <w:tab w:val="right" w:pos="8306"/>
      </w:tabs>
      <w:adjustRightInd w:val="0"/>
      <w:snapToGrid w:val="0"/>
      <w:spacing w:after="200"/>
      <w:jc w:val="left"/>
    </w:pPr>
    <w:rPr>
      <w:rFonts w:ascii="Tahoma" w:hAnsi="Tahoma" w:cs="Tahoma"/>
      <w:kern w:val="0"/>
      <w:sz w:val="18"/>
      <w:szCs w:val="18"/>
    </w:rPr>
  </w:style>
  <w:style w:type="paragraph" w:styleId="8">
    <w:name w:val="header"/>
    <w:basedOn w:val="1"/>
    <w:link w:val="22"/>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cs="Tahoma"/>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b/>
      <w:bCs/>
    </w:rPr>
  </w:style>
  <w:style w:type="character" w:styleId="14">
    <w:name w:val="page number"/>
    <w:basedOn w:val="12"/>
    <w:qFormat/>
    <w:uiPriority w:val="99"/>
  </w:style>
  <w:style w:type="character" w:styleId="15">
    <w:name w:val="FollowedHyperlink"/>
    <w:basedOn w:val="12"/>
    <w:semiHidden/>
    <w:qFormat/>
    <w:uiPriority w:val="99"/>
    <w:rPr>
      <w:color w:val="800080"/>
      <w:u w:val="none"/>
    </w:rPr>
  </w:style>
  <w:style w:type="character" w:styleId="16">
    <w:name w:val="Hyperlink"/>
    <w:basedOn w:val="12"/>
    <w:semiHidden/>
    <w:qFormat/>
    <w:uiPriority w:val="99"/>
    <w:rPr>
      <w:color w:val="0000FF"/>
      <w:u w:val="none"/>
    </w:rPr>
  </w:style>
  <w:style w:type="character" w:customStyle="1" w:styleId="17">
    <w:name w:val="标题 1 Char"/>
    <w:basedOn w:val="12"/>
    <w:link w:val="3"/>
    <w:qFormat/>
    <w:locked/>
    <w:uiPriority w:val="99"/>
    <w:rPr>
      <w:b/>
      <w:bCs/>
      <w:kern w:val="44"/>
      <w:sz w:val="44"/>
      <w:szCs w:val="44"/>
    </w:rPr>
  </w:style>
  <w:style w:type="character" w:customStyle="1" w:styleId="18">
    <w:name w:val="文档结构图 Char"/>
    <w:basedOn w:val="12"/>
    <w:link w:val="4"/>
    <w:semiHidden/>
    <w:qFormat/>
    <w:locked/>
    <w:uiPriority w:val="99"/>
    <w:rPr>
      <w:sz w:val="2"/>
      <w:szCs w:val="2"/>
    </w:rPr>
  </w:style>
  <w:style w:type="character" w:customStyle="1" w:styleId="19">
    <w:name w:val="正文文本 Char"/>
    <w:basedOn w:val="12"/>
    <w:link w:val="5"/>
    <w:semiHidden/>
    <w:qFormat/>
    <w:locked/>
    <w:uiPriority w:val="99"/>
    <w:rPr>
      <w:sz w:val="21"/>
      <w:szCs w:val="21"/>
    </w:rPr>
  </w:style>
  <w:style w:type="character" w:customStyle="1" w:styleId="20">
    <w:name w:val="批注框文本 Char"/>
    <w:basedOn w:val="12"/>
    <w:link w:val="6"/>
    <w:semiHidden/>
    <w:qFormat/>
    <w:locked/>
    <w:uiPriority w:val="99"/>
    <w:rPr>
      <w:rFonts w:ascii="Times New Roman" w:hAnsi="Times New Roman" w:cs="Times New Roman"/>
      <w:kern w:val="2"/>
      <w:sz w:val="18"/>
      <w:szCs w:val="18"/>
    </w:rPr>
  </w:style>
  <w:style w:type="character" w:customStyle="1" w:styleId="21">
    <w:name w:val="页脚 Char"/>
    <w:basedOn w:val="12"/>
    <w:link w:val="7"/>
    <w:qFormat/>
    <w:locked/>
    <w:uiPriority w:val="99"/>
    <w:rPr>
      <w:rFonts w:ascii="Tahoma" w:hAnsi="Tahoma" w:cs="Tahoma"/>
      <w:sz w:val="18"/>
      <w:szCs w:val="18"/>
    </w:rPr>
  </w:style>
  <w:style w:type="character" w:customStyle="1" w:styleId="22">
    <w:name w:val="页眉 Char"/>
    <w:basedOn w:val="12"/>
    <w:link w:val="8"/>
    <w:qFormat/>
    <w:locked/>
    <w:uiPriority w:val="99"/>
    <w:rPr>
      <w:rFonts w:ascii="Tahoma" w:hAnsi="Tahoma" w:cs="Tahoma"/>
      <w:sz w:val="18"/>
      <w:szCs w:val="18"/>
    </w:rPr>
  </w:style>
  <w:style w:type="paragraph" w:customStyle="1" w:styleId="23">
    <w:name w:val="Char Char Char Char"/>
    <w:basedOn w:val="4"/>
    <w:qFormat/>
    <w:uiPriority w:val="99"/>
    <w:rPr>
      <w:rFonts w:ascii="Tahoma" w:hAnsi="Tahoma" w:cs="Tahoma"/>
      <w:sz w:val="24"/>
      <w:szCs w:val="24"/>
    </w:rPr>
  </w:style>
  <w:style w:type="character" w:customStyle="1" w:styleId="24">
    <w:name w:val="font41"/>
    <w:basedOn w:val="12"/>
    <w:qFormat/>
    <w:uiPriority w:val="99"/>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5818</Words>
  <Characters>695</Characters>
  <Lines>5</Lines>
  <Paragraphs>12</Paragraphs>
  <TotalTime>13</TotalTime>
  <ScaleCrop>false</ScaleCrop>
  <LinksUpToDate>false</LinksUpToDate>
  <CharactersWithSpaces>6501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2018-06-04T07:03:00Z</dcterms:created>
  <dc:creator>Users</dc:creator>
  <cp:lastModifiedBy>巴斯光年</cp:lastModifiedBy>
  <cp:lastPrinted>2020-06-17T05:19:00Z</cp:lastPrinted>
  <dcterms:modified xsi:type="dcterms:W3CDTF">2020-12-11T00:36:22Z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